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A18A" w14:textId="43350967" w:rsidR="00F97D9C" w:rsidRPr="00A07697" w:rsidRDefault="008E2238" w:rsidP="00F97D9C">
      <w:pPr>
        <w:spacing w:after="120"/>
        <w:rPr>
          <w:rFonts w:cs="Times New Roman"/>
          <w:b/>
          <w:sz w:val="22"/>
          <w:szCs w:val="22"/>
        </w:rPr>
      </w:pPr>
      <w:r w:rsidRPr="00A07697">
        <w:rPr>
          <w:rFonts w:cs="Times New Roman"/>
          <w:b/>
          <w:sz w:val="22"/>
          <w:szCs w:val="22"/>
        </w:rPr>
        <w:t xml:space="preserve">Example of </w:t>
      </w:r>
      <w:r w:rsidR="00534148" w:rsidRPr="00A07697">
        <w:rPr>
          <w:rFonts w:cs="Times New Roman"/>
          <w:b/>
          <w:sz w:val="22"/>
          <w:szCs w:val="22"/>
        </w:rPr>
        <w:t>Summary of Findings</w:t>
      </w:r>
      <w:r w:rsidR="00434C36" w:rsidRPr="00A07697">
        <w:rPr>
          <w:rFonts w:cs="Times New Roman"/>
          <w:b/>
          <w:sz w:val="22"/>
          <w:szCs w:val="22"/>
        </w:rPr>
        <w:t xml:space="preserve"> </w:t>
      </w:r>
      <w:r w:rsidRPr="00A07697">
        <w:rPr>
          <w:rFonts w:cs="Times New Roman"/>
          <w:b/>
          <w:sz w:val="22"/>
          <w:szCs w:val="22"/>
        </w:rPr>
        <w:t>table</w:t>
      </w:r>
    </w:p>
    <w:p w14:paraId="64B69141" w14:textId="0C0C0F60" w:rsidR="00F97D9C" w:rsidRPr="00A07697" w:rsidRDefault="00F97D9C" w:rsidP="00F97D9C">
      <w:pPr>
        <w:spacing w:line="360" w:lineRule="auto"/>
        <w:rPr>
          <w:rFonts w:cs="Times New Roman"/>
          <w:bCs/>
          <w:sz w:val="22"/>
          <w:szCs w:val="22"/>
        </w:rPr>
      </w:pPr>
      <w:r w:rsidRPr="00A07697">
        <w:rPr>
          <w:rFonts w:cs="Times New Roman"/>
          <w:bCs/>
          <w:sz w:val="22"/>
          <w:szCs w:val="22"/>
        </w:rPr>
        <w:t>Population: patients having surgery for breast cancer</w:t>
      </w:r>
    </w:p>
    <w:p w14:paraId="57771128" w14:textId="77777777" w:rsidR="00F97D9C" w:rsidRPr="00A07697" w:rsidRDefault="00F97D9C" w:rsidP="00F97D9C">
      <w:pPr>
        <w:spacing w:line="360" w:lineRule="auto"/>
        <w:rPr>
          <w:bCs/>
          <w:sz w:val="22"/>
          <w:szCs w:val="22"/>
        </w:rPr>
      </w:pPr>
      <w:r w:rsidRPr="00A07697">
        <w:rPr>
          <w:rFonts w:cs="Times New Roman"/>
          <w:bCs/>
          <w:sz w:val="22"/>
          <w:szCs w:val="22"/>
        </w:rPr>
        <w:t xml:space="preserve">Intervention: </w:t>
      </w:r>
      <w:r w:rsidRPr="00A07697">
        <w:rPr>
          <w:bCs/>
          <w:sz w:val="22"/>
          <w:szCs w:val="22"/>
        </w:rPr>
        <w:t xml:space="preserve">Regional block </w:t>
      </w:r>
    </w:p>
    <w:p w14:paraId="45B694F7" w14:textId="388077CB" w:rsidR="00F97D9C" w:rsidRPr="00A07697" w:rsidRDefault="00F97D9C" w:rsidP="00F97D9C">
      <w:pPr>
        <w:spacing w:after="120" w:line="360" w:lineRule="auto"/>
        <w:rPr>
          <w:rFonts w:cs="Times New Roman"/>
          <w:bCs/>
          <w:sz w:val="22"/>
          <w:szCs w:val="22"/>
        </w:rPr>
      </w:pPr>
      <w:r w:rsidRPr="00A07697">
        <w:rPr>
          <w:rFonts w:cs="Times New Roman"/>
          <w:bCs/>
          <w:sz w:val="22"/>
          <w:szCs w:val="22"/>
        </w:rPr>
        <w:t>Comparator: control (parenteral analgesia)</w:t>
      </w:r>
    </w:p>
    <w:tbl>
      <w:tblPr>
        <w:tblStyle w:val="TableGrid"/>
        <w:tblW w:w="4837" w:type="pct"/>
        <w:tblLayout w:type="fixed"/>
        <w:tblLook w:val="04A0" w:firstRow="1" w:lastRow="0" w:firstColumn="1" w:lastColumn="0" w:noHBand="0" w:noVBand="1"/>
      </w:tblPr>
      <w:tblGrid>
        <w:gridCol w:w="2060"/>
        <w:gridCol w:w="1557"/>
        <w:gridCol w:w="1558"/>
        <w:gridCol w:w="2070"/>
        <w:gridCol w:w="1680"/>
        <w:gridCol w:w="1680"/>
        <w:gridCol w:w="3093"/>
        <w:gridCol w:w="16"/>
      </w:tblGrid>
      <w:tr w:rsidR="00CC44DE" w:rsidRPr="00A07697" w14:paraId="469FB73C" w14:textId="2F950CE6" w:rsidTr="00A07697">
        <w:trPr>
          <w:trHeight w:hRule="exact" w:val="1474"/>
        </w:trPr>
        <w:tc>
          <w:tcPr>
            <w:tcW w:w="2060" w:type="dxa"/>
            <w:shd w:val="clear" w:color="auto" w:fill="A6A6A6" w:themeFill="background1" w:themeFillShade="A6"/>
            <w:hideMark/>
          </w:tcPr>
          <w:p w14:paraId="5D1BB6DC" w14:textId="77777777" w:rsidR="004767BB" w:rsidRPr="00A07697" w:rsidRDefault="004767BB" w:rsidP="00876A26">
            <w:pPr>
              <w:pStyle w:val="NormalWeb"/>
              <w:spacing w:after="0"/>
              <w:rPr>
                <w:rFonts w:asciiTheme="minorHAnsi" w:hAnsiTheme="minorHAnsi"/>
                <w:bCs/>
                <w:sz w:val="22"/>
                <w:szCs w:val="22"/>
              </w:rPr>
            </w:pPr>
            <w:r w:rsidRPr="00A07697">
              <w:rPr>
                <w:rFonts w:asciiTheme="minorHAnsi" w:hAnsiTheme="minorHAnsi"/>
                <w:bCs/>
                <w:sz w:val="22"/>
                <w:szCs w:val="22"/>
              </w:rPr>
              <w:t>Outcomes</w:t>
            </w:r>
          </w:p>
        </w:tc>
        <w:tc>
          <w:tcPr>
            <w:tcW w:w="1557" w:type="dxa"/>
            <w:shd w:val="clear" w:color="auto" w:fill="A6A6A6" w:themeFill="background1" w:themeFillShade="A6"/>
          </w:tcPr>
          <w:p w14:paraId="4D8592C3" w14:textId="77777777" w:rsidR="00EE0F2E" w:rsidRPr="00A07697" w:rsidRDefault="00EE0F2E" w:rsidP="00EE0F2E">
            <w:pPr>
              <w:pStyle w:val="NormalWeb"/>
              <w:spacing w:after="0"/>
              <w:rPr>
                <w:rFonts w:asciiTheme="minorHAnsi" w:hAnsiTheme="minorHAnsi"/>
                <w:bCs/>
                <w:sz w:val="22"/>
                <w:szCs w:val="22"/>
              </w:rPr>
            </w:pPr>
            <w:r w:rsidRPr="00A07697">
              <w:rPr>
                <w:rFonts w:asciiTheme="minorHAnsi" w:hAnsiTheme="minorHAnsi"/>
                <w:bCs/>
                <w:sz w:val="22"/>
                <w:szCs w:val="22"/>
              </w:rPr>
              <w:t xml:space="preserve">Regional block </w:t>
            </w:r>
          </w:p>
          <w:p w14:paraId="6DD9E929" w14:textId="77777777" w:rsidR="007E0094" w:rsidRPr="00A07697" w:rsidRDefault="00EE0F2E" w:rsidP="00EE0F2E">
            <w:pPr>
              <w:pStyle w:val="NormalWeb"/>
              <w:spacing w:after="0"/>
              <w:rPr>
                <w:rFonts w:asciiTheme="minorHAnsi" w:hAnsiTheme="minorHAnsi"/>
                <w:bCs/>
                <w:sz w:val="22"/>
                <w:szCs w:val="22"/>
              </w:rPr>
            </w:pPr>
            <w:r w:rsidRPr="00A07697">
              <w:rPr>
                <w:rFonts w:asciiTheme="minorHAnsi" w:hAnsiTheme="minorHAnsi"/>
                <w:bCs/>
                <w:sz w:val="22"/>
                <w:szCs w:val="22"/>
              </w:rPr>
              <w:t>Mean (SD)</w:t>
            </w:r>
          </w:p>
          <w:p w14:paraId="2955CF47" w14:textId="490200D4" w:rsidR="00CC44DE" w:rsidRPr="00A07697" w:rsidRDefault="00CC44DE" w:rsidP="00EE0F2E">
            <w:pPr>
              <w:pStyle w:val="NormalWeb"/>
              <w:spacing w:after="0"/>
              <w:rPr>
                <w:rFonts w:asciiTheme="minorHAnsi" w:hAnsiTheme="minorHAnsi"/>
                <w:bCs/>
                <w:sz w:val="22"/>
                <w:szCs w:val="22"/>
              </w:rPr>
            </w:pPr>
            <w:r w:rsidRPr="00A07697">
              <w:rPr>
                <w:rFonts w:asciiTheme="minorHAnsi" w:hAnsiTheme="minorHAnsi"/>
                <w:bCs/>
                <w:sz w:val="22"/>
                <w:szCs w:val="22"/>
              </w:rPr>
              <w:t>or Median (IQR)</w:t>
            </w:r>
          </w:p>
        </w:tc>
        <w:tc>
          <w:tcPr>
            <w:tcW w:w="1558" w:type="dxa"/>
            <w:shd w:val="clear" w:color="auto" w:fill="A6A6A6" w:themeFill="background1" w:themeFillShade="A6"/>
          </w:tcPr>
          <w:p w14:paraId="15BE9456" w14:textId="440FDE9D" w:rsidR="00EE0F2E" w:rsidRPr="00A07697" w:rsidRDefault="00EE0F2E" w:rsidP="00EE0F2E">
            <w:pPr>
              <w:pStyle w:val="NormalWeb"/>
              <w:spacing w:after="0"/>
              <w:rPr>
                <w:rFonts w:asciiTheme="minorHAnsi" w:hAnsiTheme="minorHAnsi"/>
                <w:bCs/>
                <w:sz w:val="22"/>
                <w:szCs w:val="22"/>
              </w:rPr>
            </w:pPr>
            <w:r w:rsidRPr="00A07697">
              <w:rPr>
                <w:rFonts w:asciiTheme="minorHAnsi" w:hAnsiTheme="minorHAnsi"/>
                <w:bCs/>
                <w:sz w:val="22"/>
                <w:szCs w:val="22"/>
              </w:rPr>
              <w:t>Control</w:t>
            </w:r>
          </w:p>
          <w:p w14:paraId="0318ED38" w14:textId="77777777" w:rsidR="007E0094" w:rsidRPr="00A07697" w:rsidRDefault="00EE0F2E" w:rsidP="00EE0F2E">
            <w:pPr>
              <w:pStyle w:val="NormalWeb"/>
              <w:spacing w:after="0"/>
              <w:rPr>
                <w:rFonts w:asciiTheme="minorHAnsi" w:hAnsiTheme="minorHAnsi"/>
                <w:bCs/>
                <w:sz w:val="22"/>
                <w:szCs w:val="22"/>
              </w:rPr>
            </w:pPr>
            <w:r w:rsidRPr="00A07697">
              <w:rPr>
                <w:rFonts w:asciiTheme="minorHAnsi" w:hAnsiTheme="minorHAnsi"/>
                <w:bCs/>
                <w:sz w:val="22"/>
                <w:szCs w:val="22"/>
              </w:rPr>
              <w:t>Mean (SD)</w:t>
            </w:r>
          </w:p>
          <w:p w14:paraId="285E7EC0" w14:textId="2044E598" w:rsidR="00CC44DE" w:rsidRPr="00A07697" w:rsidRDefault="00CC44DE" w:rsidP="00EE0F2E">
            <w:pPr>
              <w:pStyle w:val="NormalWeb"/>
              <w:spacing w:after="0"/>
              <w:rPr>
                <w:rFonts w:asciiTheme="minorHAnsi" w:hAnsiTheme="minorHAnsi"/>
                <w:bCs/>
                <w:sz w:val="22"/>
                <w:szCs w:val="22"/>
              </w:rPr>
            </w:pPr>
            <w:r w:rsidRPr="00A07697">
              <w:rPr>
                <w:rFonts w:asciiTheme="minorHAnsi" w:hAnsiTheme="minorHAnsi"/>
                <w:bCs/>
                <w:sz w:val="22"/>
                <w:szCs w:val="22"/>
              </w:rPr>
              <w:t>or Median (IQR)</w:t>
            </w:r>
          </w:p>
        </w:tc>
        <w:tc>
          <w:tcPr>
            <w:tcW w:w="2070" w:type="dxa"/>
            <w:shd w:val="clear" w:color="auto" w:fill="A6A6A6" w:themeFill="background1" w:themeFillShade="A6"/>
            <w:hideMark/>
          </w:tcPr>
          <w:p w14:paraId="02AE9297" w14:textId="31A0CE79" w:rsidR="001045F9" w:rsidRPr="00A07697" w:rsidRDefault="001045F9" w:rsidP="00876A26">
            <w:pPr>
              <w:pStyle w:val="NormalWeb"/>
              <w:spacing w:after="0"/>
              <w:rPr>
                <w:rFonts w:asciiTheme="minorHAnsi" w:hAnsiTheme="minorHAnsi"/>
                <w:bCs/>
                <w:sz w:val="22"/>
                <w:szCs w:val="22"/>
              </w:rPr>
            </w:pPr>
            <w:r w:rsidRPr="00A07697">
              <w:rPr>
                <w:rFonts w:asciiTheme="minorHAnsi" w:hAnsiTheme="minorHAnsi"/>
                <w:bCs/>
                <w:sz w:val="22"/>
                <w:szCs w:val="22"/>
              </w:rPr>
              <w:t>Mean difference or</w:t>
            </w:r>
          </w:p>
          <w:p w14:paraId="236D6C92" w14:textId="1EDAD298" w:rsidR="004767BB" w:rsidRPr="00A07697" w:rsidRDefault="001045F9" w:rsidP="00876A26">
            <w:pPr>
              <w:pStyle w:val="NormalWeb"/>
              <w:spacing w:after="0"/>
              <w:rPr>
                <w:rFonts w:asciiTheme="minorHAnsi" w:hAnsiTheme="minorHAnsi"/>
                <w:bCs/>
                <w:sz w:val="22"/>
                <w:szCs w:val="22"/>
              </w:rPr>
            </w:pPr>
            <w:r w:rsidRPr="00A07697">
              <w:rPr>
                <w:rFonts w:asciiTheme="minorHAnsi" w:hAnsiTheme="minorHAnsi"/>
                <w:bCs/>
                <w:sz w:val="22"/>
                <w:szCs w:val="22"/>
              </w:rPr>
              <w:t xml:space="preserve">Odds </w:t>
            </w:r>
            <w:r w:rsidR="00EE0F2E" w:rsidRPr="00A07697">
              <w:rPr>
                <w:rFonts w:asciiTheme="minorHAnsi" w:hAnsiTheme="minorHAnsi"/>
                <w:bCs/>
                <w:sz w:val="22"/>
                <w:szCs w:val="22"/>
              </w:rPr>
              <w:t>R</w:t>
            </w:r>
            <w:r w:rsidRPr="00A07697">
              <w:rPr>
                <w:rFonts w:asciiTheme="minorHAnsi" w:hAnsiTheme="minorHAnsi"/>
                <w:bCs/>
                <w:sz w:val="22"/>
                <w:szCs w:val="22"/>
              </w:rPr>
              <w:t>atio</w:t>
            </w:r>
            <w:r w:rsidR="004767BB" w:rsidRPr="00A07697">
              <w:rPr>
                <w:rFonts w:asciiTheme="minorHAnsi" w:hAnsiTheme="minorHAnsi"/>
                <w:bCs/>
                <w:sz w:val="22"/>
                <w:szCs w:val="22"/>
              </w:rPr>
              <w:br/>
            </w:r>
            <w:r w:rsidR="00F91D5C" w:rsidRPr="00A07697">
              <w:rPr>
                <w:rFonts w:asciiTheme="minorHAnsi" w:hAnsiTheme="minorHAnsi"/>
                <w:bCs/>
                <w:sz w:val="22"/>
                <w:szCs w:val="22"/>
              </w:rPr>
              <w:t>[</w:t>
            </w:r>
            <w:r w:rsidR="004767BB" w:rsidRPr="00A07697">
              <w:rPr>
                <w:rFonts w:asciiTheme="minorHAnsi" w:hAnsiTheme="minorHAnsi"/>
                <w:bCs/>
                <w:sz w:val="22"/>
                <w:szCs w:val="22"/>
              </w:rPr>
              <w:t>95% C</w:t>
            </w:r>
            <w:r w:rsidRPr="00A07697">
              <w:rPr>
                <w:rFonts w:asciiTheme="minorHAnsi" w:hAnsiTheme="minorHAnsi"/>
                <w:bCs/>
                <w:sz w:val="22"/>
                <w:szCs w:val="22"/>
              </w:rPr>
              <w:t xml:space="preserve">onfidence </w:t>
            </w:r>
            <w:r w:rsidR="004767BB" w:rsidRPr="00A07697">
              <w:rPr>
                <w:rFonts w:asciiTheme="minorHAnsi" w:hAnsiTheme="minorHAnsi"/>
                <w:bCs/>
                <w:sz w:val="22"/>
                <w:szCs w:val="22"/>
              </w:rPr>
              <w:t>I</w:t>
            </w:r>
            <w:r w:rsidRPr="00A07697">
              <w:rPr>
                <w:rFonts w:asciiTheme="minorHAnsi" w:hAnsiTheme="minorHAnsi"/>
                <w:bCs/>
                <w:sz w:val="22"/>
                <w:szCs w:val="22"/>
              </w:rPr>
              <w:t>nterval</w:t>
            </w:r>
            <w:r w:rsidR="00F91D5C" w:rsidRPr="00A07697">
              <w:rPr>
                <w:rFonts w:asciiTheme="minorHAnsi" w:hAnsiTheme="minorHAnsi"/>
                <w:bCs/>
                <w:sz w:val="22"/>
                <w:szCs w:val="22"/>
              </w:rPr>
              <w:t>]</w:t>
            </w:r>
            <w:r w:rsidR="004767BB" w:rsidRPr="00A07697">
              <w:rPr>
                <w:rFonts w:asciiTheme="minorHAnsi" w:hAnsiTheme="minorHAnsi"/>
                <w:bCs/>
                <w:sz w:val="22"/>
                <w:szCs w:val="22"/>
              </w:rPr>
              <w:t xml:space="preserve"> </w:t>
            </w:r>
          </w:p>
        </w:tc>
        <w:tc>
          <w:tcPr>
            <w:tcW w:w="1680" w:type="dxa"/>
            <w:shd w:val="clear" w:color="auto" w:fill="A6A6A6" w:themeFill="background1" w:themeFillShade="A6"/>
            <w:hideMark/>
          </w:tcPr>
          <w:p w14:paraId="37EAF3A8" w14:textId="77777777" w:rsidR="004767BB" w:rsidRPr="00A07697" w:rsidRDefault="004767BB" w:rsidP="00876A26">
            <w:pPr>
              <w:pStyle w:val="NormalWeb"/>
              <w:spacing w:after="0"/>
              <w:rPr>
                <w:rFonts w:asciiTheme="minorHAnsi" w:hAnsiTheme="minorHAnsi"/>
                <w:bCs/>
                <w:sz w:val="22"/>
                <w:szCs w:val="22"/>
              </w:rPr>
            </w:pPr>
            <w:r w:rsidRPr="00A07697">
              <w:rPr>
                <w:rFonts w:asciiTheme="minorHAnsi" w:hAnsiTheme="minorHAnsi"/>
                <w:bCs/>
                <w:sz w:val="22"/>
                <w:szCs w:val="22"/>
              </w:rPr>
              <w:t xml:space="preserve">Number of participants </w:t>
            </w:r>
            <w:r w:rsidRPr="00A07697">
              <w:rPr>
                <w:rFonts w:asciiTheme="minorHAnsi" w:eastAsia="MingLiU" w:hAnsiTheme="minorHAnsi"/>
                <w:bCs/>
                <w:sz w:val="22"/>
                <w:szCs w:val="22"/>
              </w:rPr>
              <w:br/>
            </w:r>
            <w:r w:rsidRPr="00A07697">
              <w:rPr>
                <w:rFonts w:asciiTheme="minorHAnsi" w:hAnsiTheme="minorHAnsi"/>
                <w:bCs/>
                <w:sz w:val="22"/>
                <w:szCs w:val="22"/>
              </w:rPr>
              <w:t xml:space="preserve">(studies) </w:t>
            </w:r>
          </w:p>
        </w:tc>
        <w:tc>
          <w:tcPr>
            <w:tcW w:w="1680" w:type="dxa"/>
            <w:shd w:val="clear" w:color="auto" w:fill="A6A6A6" w:themeFill="background1" w:themeFillShade="A6"/>
            <w:hideMark/>
          </w:tcPr>
          <w:p w14:paraId="4B924CF9" w14:textId="3353BDA7" w:rsidR="004767BB" w:rsidRPr="00A07697" w:rsidRDefault="004767BB" w:rsidP="00876A26">
            <w:pPr>
              <w:pStyle w:val="NormalWeb"/>
              <w:spacing w:after="0"/>
              <w:rPr>
                <w:rFonts w:asciiTheme="minorHAnsi" w:hAnsiTheme="minorHAnsi"/>
                <w:bCs/>
                <w:sz w:val="22"/>
                <w:szCs w:val="22"/>
              </w:rPr>
            </w:pPr>
            <w:r w:rsidRPr="00A07697">
              <w:rPr>
                <w:rFonts w:asciiTheme="minorHAnsi" w:hAnsiTheme="minorHAnsi"/>
                <w:bCs/>
                <w:sz w:val="22"/>
                <w:szCs w:val="22"/>
              </w:rPr>
              <w:t xml:space="preserve">Quality </w:t>
            </w:r>
            <w:r w:rsidR="007B30DB">
              <w:rPr>
                <w:rFonts w:asciiTheme="minorHAnsi" w:hAnsiTheme="minorHAnsi"/>
                <w:bCs/>
                <w:sz w:val="22"/>
                <w:szCs w:val="22"/>
              </w:rPr>
              <w:t xml:space="preserve">or certainty </w:t>
            </w:r>
            <w:r w:rsidRPr="00A07697">
              <w:rPr>
                <w:rFonts w:asciiTheme="minorHAnsi" w:hAnsiTheme="minorHAnsi"/>
                <w:bCs/>
                <w:sz w:val="22"/>
                <w:szCs w:val="22"/>
              </w:rPr>
              <w:t>of the evidence</w:t>
            </w:r>
            <w:r w:rsidRPr="00A07697">
              <w:rPr>
                <w:rFonts w:asciiTheme="minorHAnsi" w:hAnsiTheme="minorHAnsi"/>
                <w:bCs/>
                <w:sz w:val="22"/>
                <w:szCs w:val="22"/>
              </w:rPr>
              <w:br/>
              <w:t xml:space="preserve">(GRADE) </w:t>
            </w:r>
          </w:p>
        </w:tc>
        <w:tc>
          <w:tcPr>
            <w:tcW w:w="3109" w:type="dxa"/>
            <w:gridSpan w:val="2"/>
            <w:shd w:val="clear" w:color="auto" w:fill="A6A6A6" w:themeFill="background1" w:themeFillShade="A6"/>
          </w:tcPr>
          <w:p w14:paraId="041C9C04" w14:textId="78F713D6" w:rsidR="004767BB" w:rsidRPr="00A07697" w:rsidRDefault="004767BB" w:rsidP="00876A26">
            <w:pPr>
              <w:pStyle w:val="NormalWeb"/>
              <w:spacing w:after="0"/>
              <w:rPr>
                <w:rFonts w:asciiTheme="minorHAnsi" w:hAnsiTheme="minorHAnsi"/>
                <w:bCs/>
                <w:sz w:val="22"/>
                <w:szCs w:val="22"/>
              </w:rPr>
            </w:pPr>
            <w:r w:rsidRPr="00A07697">
              <w:rPr>
                <w:rFonts w:asciiTheme="minorHAnsi" w:hAnsiTheme="minorHAnsi"/>
                <w:bCs/>
                <w:sz w:val="22"/>
                <w:szCs w:val="22"/>
              </w:rPr>
              <w:t>Comments</w:t>
            </w:r>
          </w:p>
        </w:tc>
      </w:tr>
      <w:tr w:rsidR="00CC44DE" w:rsidRPr="00A07697" w14:paraId="46A66AA2" w14:textId="5899EB5E" w:rsidTr="00CC44DE">
        <w:trPr>
          <w:gridAfter w:val="1"/>
          <w:wAfter w:w="16" w:type="dxa"/>
          <w:trHeight w:val="2163"/>
        </w:trPr>
        <w:tc>
          <w:tcPr>
            <w:tcW w:w="2060" w:type="dxa"/>
            <w:hideMark/>
          </w:tcPr>
          <w:p w14:paraId="1B1DBB2C" w14:textId="309B2730" w:rsidR="004767BB" w:rsidRPr="00A07697" w:rsidRDefault="00396C03" w:rsidP="00876A26">
            <w:pPr>
              <w:rPr>
                <w:rFonts w:eastAsia="Times New Roman" w:cs="Times New Roman"/>
                <w:sz w:val="22"/>
                <w:szCs w:val="22"/>
              </w:rPr>
            </w:pPr>
            <w:r w:rsidRPr="00A07697">
              <w:rPr>
                <w:rStyle w:val="label"/>
                <w:sz w:val="22"/>
                <w:szCs w:val="22"/>
              </w:rPr>
              <w:t xml:space="preserve">Pain during mobilization </w:t>
            </w:r>
            <w:r w:rsidR="00365EF7" w:rsidRPr="00A07697">
              <w:rPr>
                <w:rStyle w:val="label"/>
                <w:sz w:val="22"/>
                <w:szCs w:val="22"/>
              </w:rPr>
              <w:t xml:space="preserve">at 24h, </w:t>
            </w:r>
            <w:r w:rsidRPr="00A07697">
              <w:rPr>
                <w:rStyle w:val="label"/>
                <w:sz w:val="22"/>
                <w:szCs w:val="22"/>
              </w:rPr>
              <w:t>assessed with VAS score</w:t>
            </w:r>
            <w:r w:rsidR="00D67387" w:rsidRPr="00A07697">
              <w:rPr>
                <w:rStyle w:val="label"/>
                <w:sz w:val="22"/>
                <w:szCs w:val="22"/>
              </w:rPr>
              <w:t xml:space="preserve">: </w:t>
            </w:r>
            <w:r w:rsidRPr="00A07697">
              <w:rPr>
                <w:rStyle w:val="label"/>
                <w:sz w:val="22"/>
                <w:szCs w:val="22"/>
              </w:rPr>
              <w:t xml:space="preserve">0 – 100 </w:t>
            </w:r>
            <w:r w:rsidR="001045F9" w:rsidRPr="00A07697">
              <w:rPr>
                <w:rStyle w:val="label"/>
                <w:sz w:val="22"/>
                <w:szCs w:val="22"/>
              </w:rPr>
              <w:t xml:space="preserve">mm </w:t>
            </w:r>
            <w:r w:rsidRPr="00A07697">
              <w:rPr>
                <w:rStyle w:val="label"/>
                <w:sz w:val="22"/>
                <w:szCs w:val="22"/>
              </w:rPr>
              <w:t>(worst)</w:t>
            </w:r>
            <w:r w:rsidR="004767BB" w:rsidRPr="00A07697">
              <w:rPr>
                <w:rFonts w:eastAsia="Times New Roman" w:cs="Times New Roman"/>
                <w:sz w:val="22"/>
                <w:szCs w:val="22"/>
              </w:rPr>
              <w:t xml:space="preserve"> </w:t>
            </w:r>
          </w:p>
        </w:tc>
        <w:tc>
          <w:tcPr>
            <w:tcW w:w="1557" w:type="dxa"/>
          </w:tcPr>
          <w:p w14:paraId="76BC888A" w14:textId="23E5D328" w:rsidR="00EE0F2E" w:rsidRPr="00A07697" w:rsidRDefault="00EE0F2E" w:rsidP="00876A26">
            <w:pPr>
              <w:rPr>
                <w:rStyle w:val="block"/>
                <w:rFonts w:eastAsia="Times New Roman" w:cs="Times New Roman"/>
                <w:bCs/>
                <w:sz w:val="22"/>
                <w:szCs w:val="22"/>
              </w:rPr>
            </w:pPr>
            <w:r w:rsidRPr="00A07697">
              <w:rPr>
                <w:rStyle w:val="block"/>
                <w:rFonts w:eastAsia="Times New Roman" w:cs="Times New Roman"/>
                <w:bCs/>
                <w:sz w:val="22"/>
                <w:szCs w:val="22"/>
              </w:rPr>
              <w:t>14 (12)</w:t>
            </w:r>
          </w:p>
        </w:tc>
        <w:tc>
          <w:tcPr>
            <w:tcW w:w="1558" w:type="dxa"/>
          </w:tcPr>
          <w:p w14:paraId="14976CE1" w14:textId="77777777" w:rsidR="00EE0F2E" w:rsidRPr="00A07697" w:rsidRDefault="00EE0F2E" w:rsidP="00EE0F2E">
            <w:pPr>
              <w:rPr>
                <w:rStyle w:val="block"/>
                <w:rFonts w:eastAsia="Times New Roman" w:cs="Times New Roman"/>
                <w:bCs/>
                <w:sz w:val="22"/>
                <w:szCs w:val="22"/>
              </w:rPr>
            </w:pPr>
            <w:r w:rsidRPr="00A07697">
              <w:rPr>
                <w:rStyle w:val="block"/>
                <w:rFonts w:eastAsia="Times New Roman" w:cs="Times New Roman"/>
                <w:bCs/>
                <w:sz w:val="22"/>
                <w:szCs w:val="22"/>
              </w:rPr>
              <w:t>21 (18)</w:t>
            </w:r>
          </w:p>
          <w:p w14:paraId="3717731D" w14:textId="232C1F9E" w:rsidR="004767BB" w:rsidRPr="00A07697" w:rsidRDefault="004767BB" w:rsidP="00876A26">
            <w:pPr>
              <w:rPr>
                <w:rStyle w:val="block"/>
                <w:rFonts w:eastAsia="Times New Roman" w:cs="Times New Roman"/>
                <w:bCs/>
                <w:sz w:val="22"/>
                <w:szCs w:val="22"/>
              </w:rPr>
            </w:pPr>
          </w:p>
        </w:tc>
        <w:tc>
          <w:tcPr>
            <w:tcW w:w="2070" w:type="dxa"/>
            <w:hideMark/>
          </w:tcPr>
          <w:p w14:paraId="2CE862F7" w14:textId="3CC69E91" w:rsidR="004767BB" w:rsidRPr="00A07697" w:rsidRDefault="00EE0F2E" w:rsidP="00876A26">
            <w:pPr>
              <w:rPr>
                <w:rFonts w:eastAsia="Times New Roman" w:cs="Times New Roman"/>
                <w:sz w:val="22"/>
                <w:szCs w:val="22"/>
              </w:rPr>
            </w:pPr>
            <w:r w:rsidRPr="00A07697">
              <w:rPr>
                <w:rFonts w:eastAsia="Times New Roman" w:cs="Times New Roman"/>
                <w:sz w:val="22"/>
                <w:szCs w:val="22"/>
              </w:rPr>
              <w:t>-7.2 (-11.5, -2.8)</w:t>
            </w:r>
          </w:p>
        </w:tc>
        <w:tc>
          <w:tcPr>
            <w:tcW w:w="1680" w:type="dxa"/>
            <w:hideMark/>
          </w:tcPr>
          <w:p w14:paraId="6A295C12" w14:textId="50AD5816" w:rsidR="004767BB" w:rsidRPr="00A07697" w:rsidRDefault="00EE0F2E" w:rsidP="00876A26">
            <w:pPr>
              <w:rPr>
                <w:rFonts w:eastAsia="Times New Roman" w:cs="Times New Roman"/>
                <w:sz w:val="22"/>
                <w:szCs w:val="22"/>
              </w:rPr>
            </w:pPr>
            <w:r w:rsidRPr="00A07697">
              <w:rPr>
                <w:rFonts w:eastAsia="Times New Roman" w:cs="Times New Roman"/>
                <w:sz w:val="22"/>
                <w:szCs w:val="22"/>
              </w:rPr>
              <w:t>760</w:t>
            </w:r>
            <w:r w:rsidR="004767BB" w:rsidRPr="00A07697">
              <w:rPr>
                <w:rFonts w:eastAsia="Times New Roman" w:cs="Times New Roman"/>
                <w:sz w:val="22"/>
                <w:szCs w:val="22"/>
              </w:rPr>
              <w:br/>
              <w:t>(</w:t>
            </w:r>
            <w:r w:rsidRPr="00A07697">
              <w:rPr>
                <w:rFonts w:eastAsia="Times New Roman" w:cs="Times New Roman"/>
                <w:sz w:val="22"/>
                <w:szCs w:val="22"/>
              </w:rPr>
              <w:t>9</w:t>
            </w:r>
            <w:r w:rsidR="004767BB" w:rsidRPr="00A07697">
              <w:rPr>
                <w:rFonts w:eastAsia="Times New Roman" w:cs="Times New Roman"/>
                <w:sz w:val="22"/>
                <w:szCs w:val="22"/>
              </w:rPr>
              <w:t xml:space="preserve"> studies) </w:t>
            </w:r>
          </w:p>
        </w:tc>
        <w:tc>
          <w:tcPr>
            <w:tcW w:w="1680" w:type="dxa"/>
            <w:hideMark/>
          </w:tcPr>
          <w:p w14:paraId="4FBDFD2C" w14:textId="7F3940E4" w:rsidR="004767BB" w:rsidRPr="00A07697" w:rsidRDefault="00365EF7" w:rsidP="00876A26">
            <w:pPr>
              <w:rPr>
                <w:rFonts w:eastAsia="Times New Roman" w:cs="Times New Roman"/>
                <w:sz w:val="22"/>
                <w:szCs w:val="22"/>
              </w:rPr>
            </w:pPr>
            <w:r w:rsidRPr="00A07697">
              <w:rPr>
                <w:rStyle w:val="quality-sign"/>
                <w:rFonts w:eastAsia="Cambria" w:cs="STIXGeneral-Regular"/>
                <w:sz w:val="22"/>
                <w:szCs w:val="22"/>
              </w:rPr>
              <w:t>⨁⨁</w:t>
            </w:r>
            <w:r w:rsidRPr="00A07697">
              <w:rPr>
                <w:rStyle w:val="quality-sign"/>
                <w:rFonts w:ascii="Segoe UI Symbol" w:eastAsia="MS Mincho" w:hAnsi="Segoe UI Symbol" w:cs="Segoe UI Symbol"/>
                <w:sz w:val="22"/>
                <w:szCs w:val="22"/>
              </w:rPr>
              <w:t>◯◯</w:t>
            </w:r>
            <w:r w:rsidRPr="00A07697">
              <w:rPr>
                <w:rFonts w:eastAsia="Times New Roman" w:cs="Times New Roman"/>
                <w:sz w:val="22"/>
                <w:szCs w:val="22"/>
              </w:rPr>
              <w:br/>
              <w:t>LOW</w:t>
            </w:r>
          </w:p>
        </w:tc>
        <w:tc>
          <w:tcPr>
            <w:tcW w:w="3093" w:type="dxa"/>
          </w:tcPr>
          <w:p w14:paraId="582265E5" w14:textId="45A4C332" w:rsidR="005D4417" w:rsidRPr="00A07697" w:rsidRDefault="000E419A" w:rsidP="005D4417">
            <w:pPr>
              <w:rPr>
                <w:rFonts w:eastAsia="Cambria" w:cs="STIXGeneral-Regular"/>
                <w:sz w:val="22"/>
                <w:szCs w:val="22"/>
              </w:rPr>
            </w:pPr>
            <w:r w:rsidRPr="00A07697">
              <w:rPr>
                <w:rStyle w:val="quality-sign"/>
                <w:rFonts w:eastAsia="Cambria" w:cs="STIXGeneral-Regular"/>
                <w:sz w:val="22"/>
                <w:szCs w:val="22"/>
              </w:rPr>
              <w:t xml:space="preserve">Five out of nine studies </w:t>
            </w:r>
            <w:r w:rsidR="00692337" w:rsidRPr="00A07697">
              <w:rPr>
                <w:rStyle w:val="quality-sign"/>
                <w:rFonts w:eastAsia="Cambria" w:cs="STIXGeneral-Regular"/>
                <w:sz w:val="22"/>
                <w:szCs w:val="22"/>
              </w:rPr>
              <w:t>included at least one risk of bias domain rated as being high.</w:t>
            </w:r>
            <w:r w:rsidR="00A07697">
              <w:rPr>
                <w:rStyle w:val="quality-sign"/>
                <w:rFonts w:eastAsia="Cambria" w:cs="STIXGeneral-Regular"/>
                <w:sz w:val="22"/>
                <w:szCs w:val="22"/>
              </w:rPr>
              <w:t xml:space="preserve"> </w:t>
            </w:r>
            <w:r w:rsidR="00692337" w:rsidRPr="00A07697">
              <w:rPr>
                <w:rStyle w:val="quality-sign"/>
                <w:rFonts w:eastAsia="Cambria" w:cs="STIXGeneral-Regular"/>
                <w:sz w:val="22"/>
                <w:szCs w:val="22"/>
              </w:rPr>
              <w:t xml:space="preserve">High heterogeneity, with non-overlapping confidence intervals; </w:t>
            </w:r>
            <w:r w:rsidR="005D4417" w:rsidRPr="00A07697">
              <w:rPr>
                <w:rFonts w:eastAsia="Cambria" w:cs="STIXGeneral-Regular"/>
                <w:sz w:val="22"/>
                <w:szCs w:val="22"/>
                <w:lang w:val="en-GB"/>
              </w:rPr>
              <w:t>I</w:t>
            </w:r>
            <w:r w:rsidR="005D4417" w:rsidRPr="00A07697">
              <w:rPr>
                <w:rFonts w:eastAsia="Cambria" w:cs="STIXGeneral-Regular"/>
                <w:sz w:val="22"/>
                <w:szCs w:val="22"/>
                <w:vertAlign w:val="superscript"/>
                <w:lang w:val="en-GB"/>
              </w:rPr>
              <w:t>2</w:t>
            </w:r>
            <w:r w:rsidR="005D4417" w:rsidRPr="00A07697">
              <w:rPr>
                <w:rFonts w:eastAsia="Cambria" w:cs="STIXGeneral-Regular"/>
                <w:sz w:val="22"/>
                <w:szCs w:val="22"/>
                <w:lang w:val="en-GB"/>
              </w:rPr>
              <w:t xml:space="preserve"> Test for</w:t>
            </w:r>
          </w:p>
          <w:p w14:paraId="23E74B8B" w14:textId="0D4D00F9" w:rsidR="00692337" w:rsidRPr="00A07697" w:rsidRDefault="005D4417" w:rsidP="005D4417">
            <w:pPr>
              <w:rPr>
                <w:rStyle w:val="quality-sign"/>
                <w:rFonts w:eastAsia="Cambria" w:cs="STIXGeneral-Regular"/>
                <w:sz w:val="22"/>
                <w:szCs w:val="22"/>
              </w:rPr>
            </w:pPr>
            <w:r w:rsidRPr="00A07697">
              <w:rPr>
                <w:rFonts w:eastAsia="Cambria" w:cs="STIXGeneral-Regular"/>
                <w:sz w:val="22"/>
                <w:szCs w:val="22"/>
                <w:lang w:val="en-GB"/>
              </w:rPr>
              <w:t>Heterogeneity 88% and P-value&lt; 0.00001.</w:t>
            </w:r>
          </w:p>
        </w:tc>
      </w:tr>
      <w:tr w:rsidR="00DA331E" w:rsidRPr="00A07697" w14:paraId="6E385277" w14:textId="7B49D787" w:rsidTr="00CC44DE">
        <w:trPr>
          <w:gridAfter w:val="1"/>
          <w:wAfter w:w="16" w:type="dxa"/>
          <w:trHeight w:val="1184"/>
        </w:trPr>
        <w:tc>
          <w:tcPr>
            <w:tcW w:w="2060" w:type="dxa"/>
            <w:hideMark/>
          </w:tcPr>
          <w:p w14:paraId="3F7242F5" w14:textId="27AF88F7" w:rsidR="00DA331E" w:rsidRPr="00A07697" w:rsidRDefault="00DA331E" w:rsidP="00DA331E">
            <w:pPr>
              <w:rPr>
                <w:rFonts w:eastAsia="Times New Roman" w:cs="Times New Roman"/>
                <w:sz w:val="22"/>
                <w:szCs w:val="22"/>
                <w:lang w:val="en-GB"/>
              </w:rPr>
            </w:pPr>
            <w:r w:rsidRPr="00A07697">
              <w:rPr>
                <w:rFonts w:eastAsia="Times New Roman" w:cs="Times New Roman"/>
                <w:sz w:val="22"/>
                <w:szCs w:val="22"/>
                <w:lang w:val="en-GB"/>
              </w:rPr>
              <w:t>Oral Morphine equivalent consumption</w:t>
            </w:r>
          </w:p>
          <w:p w14:paraId="65F5EA78" w14:textId="2C40C109" w:rsidR="00DA331E" w:rsidRPr="00A07697" w:rsidRDefault="00DA331E" w:rsidP="00DA331E">
            <w:pPr>
              <w:rPr>
                <w:rFonts w:eastAsia="Times New Roman" w:cs="Times New Roman"/>
                <w:sz w:val="22"/>
                <w:szCs w:val="22"/>
              </w:rPr>
            </w:pPr>
            <w:r w:rsidRPr="00A07697">
              <w:rPr>
                <w:rFonts w:eastAsia="Times New Roman" w:cs="Times New Roman"/>
                <w:sz w:val="22"/>
                <w:szCs w:val="22"/>
                <w:lang w:val="en-GB"/>
              </w:rPr>
              <w:t>0-24 h postoperatively</w:t>
            </w:r>
            <w:r w:rsidRPr="00A07697">
              <w:rPr>
                <w:rFonts w:eastAsia="Times New Roman" w:cs="Times New Roman"/>
                <w:sz w:val="22"/>
                <w:szCs w:val="22"/>
              </w:rPr>
              <w:t xml:space="preserve"> (mg)</w:t>
            </w:r>
          </w:p>
        </w:tc>
        <w:tc>
          <w:tcPr>
            <w:tcW w:w="1557" w:type="dxa"/>
          </w:tcPr>
          <w:p w14:paraId="584276DE" w14:textId="59EEA351" w:rsidR="00DA331E" w:rsidRPr="00A07697" w:rsidRDefault="00DA331E" w:rsidP="00DA331E">
            <w:pPr>
              <w:rPr>
                <w:rStyle w:val="block"/>
                <w:rFonts w:eastAsia="Times New Roman" w:cs="Times New Roman"/>
                <w:bCs/>
                <w:sz w:val="22"/>
                <w:szCs w:val="22"/>
              </w:rPr>
            </w:pPr>
            <w:r w:rsidRPr="00A07697">
              <w:rPr>
                <w:rStyle w:val="block"/>
                <w:rFonts w:eastAsia="Times New Roman" w:cs="Times New Roman"/>
                <w:bCs/>
                <w:sz w:val="22"/>
                <w:szCs w:val="22"/>
              </w:rPr>
              <w:t>39 (10.1)</w:t>
            </w:r>
          </w:p>
        </w:tc>
        <w:tc>
          <w:tcPr>
            <w:tcW w:w="1558" w:type="dxa"/>
          </w:tcPr>
          <w:p w14:paraId="5C3EE7BC" w14:textId="14C65454" w:rsidR="00DA331E" w:rsidRPr="00A07697" w:rsidRDefault="00DA331E" w:rsidP="00DA331E">
            <w:pPr>
              <w:rPr>
                <w:rStyle w:val="block"/>
                <w:rFonts w:eastAsia="Times New Roman" w:cs="Times New Roman"/>
                <w:bCs/>
                <w:sz w:val="22"/>
                <w:szCs w:val="22"/>
              </w:rPr>
            </w:pPr>
            <w:r w:rsidRPr="00A07697">
              <w:rPr>
                <w:rStyle w:val="block"/>
                <w:rFonts w:eastAsia="Times New Roman" w:cs="Times New Roman"/>
                <w:bCs/>
                <w:sz w:val="22"/>
                <w:szCs w:val="22"/>
              </w:rPr>
              <w:t>53 (15.9)</w:t>
            </w:r>
          </w:p>
        </w:tc>
        <w:tc>
          <w:tcPr>
            <w:tcW w:w="2070" w:type="dxa"/>
            <w:hideMark/>
          </w:tcPr>
          <w:p w14:paraId="6AC4239A" w14:textId="2436AEF7" w:rsidR="00DA331E" w:rsidRPr="00A07697" w:rsidRDefault="00DA331E" w:rsidP="00DA331E">
            <w:pPr>
              <w:rPr>
                <w:rFonts w:eastAsia="Times New Roman" w:cs="Times New Roman"/>
                <w:sz w:val="22"/>
                <w:szCs w:val="22"/>
              </w:rPr>
            </w:pPr>
            <w:r w:rsidRPr="00A07697">
              <w:rPr>
                <w:rFonts w:eastAsia="Times New Roman" w:cs="Times New Roman"/>
                <w:sz w:val="22"/>
                <w:szCs w:val="22"/>
              </w:rPr>
              <w:t>-14.4 [-21.1, -11.2]</w:t>
            </w:r>
          </w:p>
        </w:tc>
        <w:tc>
          <w:tcPr>
            <w:tcW w:w="1680" w:type="dxa"/>
            <w:hideMark/>
          </w:tcPr>
          <w:p w14:paraId="0196B772" w14:textId="293DD745" w:rsidR="00DA331E" w:rsidRPr="00A07697" w:rsidRDefault="00DA331E" w:rsidP="00DA331E">
            <w:pPr>
              <w:rPr>
                <w:rFonts w:eastAsia="Times New Roman" w:cs="Times New Roman"/>
                <w:sz w:val="22"/>
                <w:szCs w:val="22"/>
              </w:rPr>
            </w:pPr>
            <w:r w:rsidRPr="00A07697">
              <w:rPr>
                <w:rFonts w:eastAsia="Times New Roman" w:cs="Times New Roman"/>
                <w:sz w:val="22"/>
                <w:szCs w:val="22"/>
              </w:rPr>
              <w:t>665 (7 studies)</w:t>
            </w:r>
          </w:p>
        </w:tc>
        <w:tc>
          <w:tcPr>
            <w:tcW w:w="1680" w:type="dxa"/>
            <w:hideMark/>
          </w:tcPr>
          <w:p w14:paraId="0E08447E" w14:textId="60CD01E3" w:rsidR="00DA331E" w:rsidRPr="00A07697" w:rsidRDefault="00DA331E" w:rsidP="00DA331E">
            <w:pPr>
              <w:rPr>
                <w:rFonts w:eastAsia="Times New Roman" w:cs="Times New Roman"/>
                <w:sz w:val="22"/>
                <w:szCs w:val="22"/>
              </w:rPr>
            </w:pPr>
            <w:r w:rsidRPr="00A07697">
              <w:rPr>
                <w:rStyle w:val="quality-sign"/>
                <w:rFonts w:eastAsia="Cambria" w:cs="STIXGeneral-Regular"/>
                <w:sz w:val="22"/>
                <w:szCs w:val="22"/>
              </w:rPr>
              <w:t>⨁⨁⨁</w:t>
            </w:r>
            <w:r w:rsidRPr="00A07697">
              <w:rPr>
                <w:rStyle w:val="quality-sign"/>
                <w:rFonts w:ascii="Segoe UI Symbol" w:eastAsia="MS Mincho" w:hAnsi="Segoe UI Symbol" w:cs="Segoe UI Symbol"/>
                <w:sz w:val="22"/>
                <w:szCs w:val="22"/>
              </w:rPr>
              <w:t>◯</w:t>
            </w:r>
            <w:r w:rsidRPr="00A07697">
              <w:rPr>
                <w:rFonts w:eastAsia="Times New Roman" w:cs="Times New Roman"/>
                <w:sz w:val="22"/>
                <w:szCs w:val="22"/>
              </w:rPr>
              <w:br/>
              <w:t>MODERATE</w:t>
            </w:r>
          </w:p>
        </w:tc>
        <w:tc>
          <w:tcPr>
            <w:tcW w:w="3093" w:type="dxa"/>
          </w:tcPr>
          <w:p w14:paraId="59EDBCC2" w14:textId="5C36B93E" w:rsidR="00DA331E" w:rsidRPr="00A07697" w:rsidRDefault="00A07697" w:rsidP="00DA331E">
            <w:pPr>
              <w:rPr>
                <w:rFonts w:eastAsia="Cambria" w:cs="STIXGeneral-Regular"/>
                <w:sz w:val="22"/>
                <w:szCs w:val="22"/>
                <w:lang w:val="en-GB"/>
              </w:rPr>
            </w:pPr>
            <w:r>
              <w:rPr>
                <w:rStyle w:val="quality-sign"/>
                <w:rFonts w:eastAsia="Cambria" w:cs="STIXGeneral-Regular"/>
                <w:sz w:val="22"/>
                <w:szCs w:val="22"/>
              </w:rPr>
              <w:t>Moderate</w:t>
            </w:r>
            <w:r w:rsidR="00DA331E" w:rsidRPr="00A07697">
              <w:rPr>
                <w:rStyle w:val="quality-sign"/>
                <w:rFonts w:eastAsia="Cambria" w:cs="STIXGeneral-Regular"/>
                <w:sz w:val="22"/>
                <w:szCs w:val="22"/>
              </w:rPr>
              <w:t xml:space="preserve"> heterogeneity; </w:t>
            </w:r>
            <w:r w:rsidR="00DA331E" w:rsidRPr="00A07697">
              <w:rPr>
                <w:rFonts w:eastAsia="Cambria" w:cs="STIXGeneral-Regular"/>
                <w:sz w:val="22"/>
                <w:szCs w:val="22"/>
                <w:lang w:val="en-GB"/>
              </w:rPr>
              <w:t>I</w:t>
            </w:r>
            <w:r w:rsidR="00DA331E" w:rsidRPr="00A07697">
              <w:rPr>
                <w:rFonts w:eastAsia="Cambria" w:cs="STIXGeneral-Regular"/>
                <w:sz w:val="22"/>
                <w:szCs w:val="22"/>
                <w:vertAlign w:val="superscript"/>
                <w:lang w:val="en-GB"/>
              </w:rPr>
              <w:t>2</w:t>
            </w:r>
            <w:r w:rsidR="00DA331E" w:rsidRPr="00A07697">
              <w:rPr>
                <w:rFonts w:eastAsia="Cambria" w:cs="STIXGeneral-Regular"/>
                <w:sz w:val="22"/>
                <w:szCs w:val="22"/>
                <w:lang w:val="en-GB"/>
              </w:rPr>
              <w:t xml:space="preserve"> Test for</w:t>
            </w:r>
          </w:p>
          <w:p w14:paraId="5ADE538C" w14:textId="7EDCFB2E" w:rsidR="00DA331E" w:rsidRPr="00A07697" w:rsidRDefault="00DA331E" w:rsidP="00DA331E">
            <w:pPr>
              <w:rPr>
                <w:rStyle w:val="quality-sign"/>
                <w:rFonts w:eastAsia="Cambria" w:cs="STIXGeneral-Regular"/>
                <w:sz w:val="22"/>
                <w:szCs w:val="22"/>
              </w:rPr>
            </w:pPr>
            <w:r w:rsidRPr="00A07697">
              <w:rPr>
                <w:rFonts w:eastAsia="Cambria" w:cs="STIXGeneral-Regular"/>
                <w:sz w:val="22"/>
                <w:szCs w:val="22"/>
                <w:lang w:val="en-GB"/>
              </w:rPr>
              <w:t xml:space="preserve">Heterogeneity </w:t>
            </w:r>
            <w:r w:rsidR="00A07697">
              <w:rPr>
                <w:rFonts w:eastAsia="Cambria" w:cs="STIXGeneral-Regular"/>
                <w:sz w:val="22"/>
                <w:szCs w:val="22"/>
                <w:lang w:val="en-GB"/>
              </w:rPr>
              <w:t>65</w:t>
            </w:r>
            <w:r w:rsidRPr="00A07697">
              <w:rPr>
                <w:rFonts w:eastAsia="Cambria" w:cs="STIXGeneral-Regular"/>
                <w:sz w:val="22"/>
                <w:szCs w:val="22"/>
                <w:lang w:val="en-GB"/>
              </w:rPr>
              <w:t>%</w:t>
            </w:r>
            <w:r w:rsidR="00A07697">
              <w:rPr>
                <w:rFonts w:eastAsia="Cambria" w:cs="STIXGeneral-Regular"/>
                <w:sz w:val="22"/>
                <w:szCs w:val="22"/>
                <w:lang w:val="en-GB"/>
              </w:rPr>
              <w:t>.</w:t>
            </w:r>
          </w:p>
        </w:tc>
      </w:tr>
      <w:tr w:rsidR="00DA331E" w:rsidRPr="00A07697" w14:paraId="61BFCF84" w14:textId="1E38054B" w:rsidTr="00A07697">
        <w:trPr>
          <w:gridAfter w:val="1"/>
          <w:wAfter w:w="16" w:type="dxa"/>
          <w:trHeight w:hRule="exact" w:val="1021"/>
        </w:trPr>
        <w:tc>
          <w:tcPr>
            <w:tcW w:w="2060" w:type="dxa"/>
            <w:hideMark/>
          </w:tcPr>
          <w:p w14:paraId="01C08985" w14:textId="7FC76D22" w:rsidR="00DA331E" w:rsidRPr="00A07697" w:rsidRDefault="00DA331E" w:rsidP="00DA331E">
            <w:pPr>
              <w:rPr>
                <w:rFonts w:eastAsia="Times New Roman" w:cs="Times New Roman"/>
                <w:sz w:val="22"/>
                <w:szCs w:val="22"/>
              </w:rPr>
            </w:pPr>
            <w:r w:rsidRPr="00A07697">
              <w:rPr>
                <w:rStyle w:val="label"/>
                <w:sz w:val="22"/>
                <w:szCs w:val="22"/>
              </w:rPr>
              <w:t>Opioid-related side-effects</w:t>
            </w:r>
            <w:r w:rsidRPr="00A07697">
              <w:rPr>
                <w:rFonts w:eastAsia="Times New Roman" w:cs="Times New Roman"/>
                <w:sz w:val="22"/>
                <w:szCs w:val="22"/>
              </w:rPr>
              <w:t xml:space="preserve"> </w:t>
            </w:r>
          </w:p>
        </w:tc>
        <w:tc>
          <w:tcPr>
            <w:tcW w:w="1557" w:type="dxa"/>
          </w:tcPr>
          <w:p w14:paraId="3CE2DF17" w14:textId="7D3F85D7" w:rsidR="00DA331E" w:rsidRPr="00A07697" w:rsidRDefault="00DA331E" w:rsidP="00DA331E">
            <w:pPr>
              <w:rPr>
                <w:rStyle w:val="block"/>
                <w:rFonts w:eastAsia="Times New Roman" w:cs="Times New Roman"/>
                <w:bCs/>
                <w:sz w:val="22"/>
                <w:szCs w:val="22"/>
              </w:rPr>
            </w:pPr>
            <w:r w:rsidRPr="00A07697">
              <w:rPr>
                <w:rStyle w:val="block"/>
                <w:rFonts w:eastAsia="Times New Roman" w:cs="Times New Roman"/>
                <w:bCs/>
                <w:sz w:val="22"/>
                <w:szCs w:val="22"/>
              </w:rPr>
              <w:t>54/382</w:t>
            </w:r>
          </w:p>
        </w:tc>
        <w:tc>
          <w:tcPr>
            <w:tcW w:w="1558" w:type="dxa"/>
          </w:tcPr>
          <w:p w14:paraId="49947D50" w14:textId="71963F93" w:rsidR="00DA331E" w:rsidRPr="00A07697" w:rsidRDefault="00DA331E" w:rsidP="00DA331E">
            <w:pPr>
              <w:rPr>
                <w:rStyle w:val="block"/>
                <w:rFonts w:eastAsia="Times New Roman" w:cs="Times New Roman"/>
                <w:bCs/>
                <w:sz w:val="22"/>
                <w:szCs w:val="22"/>
              </w:rPr>
            </w:pPr>
            <w:r w:rsidRPr="00A07697">
              <w:rPr>
                <w:rStyle w:val="block"/>
                <w:rFonts w:eastAsia="Times New Roman" w:cs="Times New Roman"/>
                <w:bCs/>
                <w:sz w:val="22"/>
                <w:szCs w:val="22"/>
              </w:rPr>
              <w:t>94/378</w:t>
            </w:r>
          </w:p>
        </w:tc>
        <w:tc>
          <w:tcPr>
            <w:tcW w:w="2070" w:type="dxa"/>
            <w:hideMark/>
          </w:tcPr>
          <w:p w14:paraId="18B4234D" w14:textId="0B62196C" w:rsidR="00DA331E" w:rsidRPr="00A07697" w:rsidRDefault="00DA331E" w:rsidP="00DA331E">
            <w:pPr>
              <w:rPr>
                <w:rFonts w:eastAsia="Times New Roman" w:cs="Times New Roman"/>
                <w:sz w:val="22"/>
                <w:szCs w:val="22"/>
              </w:rPr>
            </w:pPr>
            <w:r w:rsidRPr="00A07697">
              <w:rPr>
                <w:rFonts w:eastAsia="Times New Roman" w:cs="Times New Roman"/>
                <w:sz w:val="22"/>
                <w:szCs w:val="22"/>
                <w:lang w:val="en-GB"/>
              </w:rPr>
              <w:t>OR 0.50 [0.28, 0.66]</w:t>
            </w:r>
          </w:p>
        </w:tc>
        <w:tc>
          <w:tcPr>
            <w:tcW w:w="1680" w:type="dxa"/>
            <w:hideMark/>
          </w:tcPr>
          <w:p w14:paraId="51BAFE7D" w14:textId="48E7EA04" w:rsidR="00DA331E" w:rsidRPr="00A07697" w:rsidRDefault="00DA331E" w:rsidP="00DA331E">
            <w:pPr>
              <w:rPr>
                <w:rFonts w:eastAsia="Times New Roman" w:cs="Times New Roman"/>
                <w:sz w:val="22"/>
                <w:szCs w:val="22"/>
              </w:rPr>
            </w:pPr>
            <w:r w:rsidRPr="00A07697">
              <w:rPr>
                <w:rFonts w:eastAsia="Times New Roman" w:cs="Times New Roman"/>
                <w:sz w:val="22"/>
                <w:szCs w:val="22"/>
              </w:rPr>
              <w:t>760</w:t>
            </w:r>
            <w:r w:rsidRPr="00A07697">
              <w:rPr>
                <w:rFonts w:eastAsia="Times New Roman" w:cs="Times New Roman"/>
                <w:sz w:val="22"/>
                <w:szCs w:val="22"/>
              </w:rPr>
              <w:br/>
              <w:t>(9 studies</w:t>
            </w:r>
          </w:p>
        </w:tc>
        <w:tc>
          <w:tcPr>
            <w:tcW w:w="1680" w:type="dxa"/>
            <w:hideMark/>
          </w:tcPr>
          <w:p w14:paraId="0DC1E01F" w14:textId="4D9F869C" w:rsidR="00DA331E" w:rsidRPr="00A07697" w:rsidRDefault="00DA331E" w:rsidP="00DA331E">
            <w:pPr>
              <w:rPr>
                <w:rFonts w:eastAsia="Times New Roman" w:cs="Times New Roman (Body CS)"/>
                <w:sz w:val="22"/>
                <w:szCs w:val="22"/>
              </w:rPr>
            </w:pPr>
            <w:r w:rsidRPr="00A07697">
              <w:rPr>
                <w:rStyle w:val="quality-sign"/>
                <w:rFonts w:eastAsia="Cambria" w:cs="STIXGeneral-Regular"/>
                <w:sz w:val="22"/>
                <w:szCs w:val="22"/>
              </w:rPr>
              <w:t>⨁⨁⨁⨁</w:t>
            </w:r>
            <w:r w:rsidRPr="00A07697">
              <w:rPr>
                <w:rFonts w:eastAsia="Times New Roman" w:cs="Times New Roman"/>
                <w:sz w:val="22"/>
                <w:szCs w:val="22"/>
              </w:rPr>
              <w:br/>
            </w:r>
            <w:r w:rsidRPr="00A07697">
              <w:rPr>
                <w:rStyle w:val="comma"/>
                <w:sz w:val="22"/>
                <w:szCs w:val="22"/>
              </w:rPr>
              <w:t>HIGH</w:t>
            </w:r>
          </w:p>
        </w:tc>
        <w:tc>
          <w:tcPr>
            <w:tcW w:w="3093" w:type="dxa"/>
          </w:tcPr>
          <w:p w14:paraId="662FC325" w14:textId="22821853" w:rsidR="00DA331E" w:rsidRPr="00A07697" w:rsidRDefault="00DA331E" w:rsidP="00DA331E">
            <w:pPr>
              <w:rPr>
                <w:rStyle w:val="quality-sign"/>
                <w:rFonts w:eastAsia="Cambria" w:cs="STIXGeneral-Regular"/>
                <w:sz w:val="22"/>
                <w:szCs w:val="22"/>
              </w:rPr>
            </w:pPr>
            <w:r w:rsidRPr="00A07697">
              <w:rPr>
                <w:rStyle w:val="quality-sign"/>
                <w:rFonts w:eastAsia="Cambria" w:cs="STIXGeneral-Regular"/>
                <w:sz w:val="22"/>
                <w:szCs w:val="22"/>
              </w:rPr>
              <w:t>Low Heterogeneity</w:t>
            </w:r>
          </w:p>
        </w:tc>
      </w:tr>
      <w:tr w:rsidR="00DA331E" w:rsidRPr="00A07697" w14:paraId="569C27B4" w14:textId="3A998011" w:rsidTr="00A07697">
        <w:trPr>
          <w:gridAfter w:val="1"/>
          <w:wAfter w:w="16" w:type="dxa"/>
          <w:trHeight w:hRule="exact" w:val="1021"/>
        </w:trPr>
        <w:tc>
          <w:tcPr>
            <w:tcW w:w="2060" w:type="dxa"/>
          </w:tcPr>
          <w:p w14:paraId="36834DD4" w14:textId="50D83D35" w:rsidR="00DA331E" w:rsidRPr="00A07697" w:rsidRDefault="00DA331E" w:rsidP="00DA331E">
            <w:pPr>
              <w:rPr>
                <w:rStyle w:val="label"/>
                <w:rFonts w:eastAsia="Times New Roman" w:cs="Times New Roman"/>
                <w:sz w:val="22"/>
                <w:szCs w:val="22"/>
              </w:rPr>
            </w:pPr>
            <w:r w:rsidRPr="00A07697">
              <w:rPr>
                <w:rStyle w:val="label"/>
                <w:sz w:val="22"/>
                <w:szCs w:val="22"/>
              </w:rPr>
              <w:lastRenderedPageBreak/>
              <w:t>Quality of recovery</w:t>
            </w:r>
            <w:r w:rsidRPr="00A07697">
              <w:rPr>
                <w:rFonts w:eastAsia="Times New Roman" w:cs="Times New Roman"/>
                <w:sz w:val="22"/>
                <w:szCs w:val="22"/>
              </w:rPr>
              <w:t xml:space="preserve"> 15 at 24 h: (0-150. 150=best recovery</w:t>
            </w:r>
          </w:p>
        </w:tc>
        <w:tc>
          <w:tcPr>
            <w:tcW w:w="1557" w:type="dxa"/>
          </w:tcPr>
          <w:p w14:paraId="201008ED" w14:textId="02A1F6AD" w:rsidR="00DA331E" w:rsidRPr="00A07697" w:rsidRDefault="00DA331E" w:rsidP="00DA331E">
            <w:pPr>
              <w:rPr>
                <w:rStyle w:val="block"/>
                <w:rFonts w:eastAsia="Times New Roman" w:cs="Times New Roman"/>
                <w:bCs/>
                <w:sz w:val="22"/>
                <w:szCs w:val="22"/>
              </w:rPr>
            </w:pPr>
            <w:r w:rsidRPr="00A07697">
              <w:rPr>
                <w:rFonts w:eastAsia="Times New Roman" w:cs="Times New Roman"/>
                <w:bCs/>
                <w:sz w:val="22"/>
                <w:szCs w:val="22"/>
                <w:lang w:val="en-AU"/>
              </w:rPr>
              <w:t>103 [92 – 122]</w:t>
            </w:r>
          </w:p>
        </w:tc>
        <w:tc>
          <w:tcPr>
            <w:tcW w:w="1558" w:type="dxa"/>
          </w:tcPr>
          <w:p w14:paraId="7C20579B" w14:textId="69F6A95C" w:rsidR="00DA331E" w:rsidRPr="00A07697" w:rsidRDefault="00DA331E" w:rsidP="00DA331E">
            <w:pPr>
              <w:rPr>
                <w:rStyle w:val="block"/>
                <w:rFonts w:eastAsia="Times New Roman" w:cs="Times New Roman"/>
                <w:bCs/>
                <w:sz w:val="22"/>
                <w:szCs w:val="22"/>
              </w:rPr>
            </w:pPr>
            <w:r w:rsidRPr="00A07697">
              <w:rPr>
                <w:rFonts w:eastAsia="Times New Roman" w:cs="Times New Roman"/>
                <w:bCs/>
                <w:sz w:val="22"/>
                <w:szCs w:val="22"/>
                <w:lang w:val="en-AU"/>
              </w:rPr>
              <w:t>97 [76.5 – 123]</w:t>
            </w:r>
          </w:p>
        </w:tc>
        <w:tc>
          <w:tcPr>
            <w:tcW w:w="2070" w:type="dxa"/>
          </w:tcPr>
          <w:p w14:paraId="67E14E1D" w14:textId="335D3097" w:rsidR="00DA331E" w:rsidRPr="00A07697" w:rsidRDefault="00DA331E" w:rsidP="00DA331E">
            <w:pPr>
              <w:rPr>
                <w:rStyle w:val="block"/>
                <w:rFonts w:eastAsia="Times New Roman" w:cs="Times New Roman"/>
                <w:sz w:val="22"/>
                <w:szCs w:val="22"/>
              </w:rPr>
            </w:pPr>
            <w:r w:rsidRPr="00A07697">
              <w:rPr>
                <w:rFonts w:eastAsia="Times New Roman" w:cs="Times New Roman"/>
                <w:sz w:val="22"/>
                <w:szCs w:val="22"/>
                <w:lang w:val="en-AU"/>
              </w:rPr>
              <w:t xml:space="preserve">-7 (-20, 5)  </w:t>
            </w:r>
          </w:p>
        </w:tc>
        <w:tc>
          <w:tcPr>
            <w:tcW w:w="1680" w:type="dxa"/>
          </w:tcPr>
          <w:p w14:paraId="497EA9A4" w14:textId="58D672F8" w:rsidR="00DA331E" w:rsidRPr="00A07697" w:rsidRDefault="00DA331E" w:rsidP="00DA331E">
            <w:pPr>
              <w:rPr>
                <w:rFonts w:eastAsia="Times New Roman" w:cs="Times New Roman"/>
                <w:sz w:val="22"/>
                <w:szCs w:val="22"/>
              </w:rPr>
            </w:pPr>
            <w:r w:rsidRPr="00A07697">
              <w:rPr>
                <w:rFonts w:eastAsia="Times New Roman" w:cs="Times New Roman"/>
                <w:sz w:val="22"/>
                <w:szCs w:val="22"/>
              </w:rPr>
              <w:t>173</w:t>
            </w:r>
            <w:r w:rsidRPr="00A07697">
              <w:rPr>
                <w:rFonts w:eastAsia="Times New Roman" w:cs="Times New Roman"/>
                <w:sz w:val="22"/>
                <w:szCs w:val="22"/>
              </w:rPr>
              <w:br/>
              <w:t>(2 studies)</w:t>
            </w:r>
          </w:p>
        </w:tc>
        <w:tc>
          <w:tcPr>
            <w:tcW w:w="1680" w:type="dxa"/>
          </w:tcPr>
          <w:p w14:paraId="1B3EE321" w14:textId="77777777" w:rsidR="00DA331E" w:rsidRPr="00A07697" w:rsidRDefault="00DA331E" w:rsidP="00DA331E">
            <w:pPr>
              <w:rPr>
                <w:rStyle w:val="quality-sign"/>
                <w:rFonts w:eastAsia="Cambria" w:cs="STIXGeneral-Regular"/>
                <w:sz w:val="22"/>
                <w:szCs w:val="22"/>
              </w:rPr>
            </w:pPr>
            <w:r w:rsidRPr="00A07697">
              <w:rPr>
                <w:rStyle w:val="quality-sign"/>
                <w:rFonts w:eastAsia="Cambria" w:cs="STIXGeneral-Regular"/>
                <w:sz w:val="22"/>
                <w:szCs w:val="22"/>
              </w:rPr>
              <w:t>⨁⨁</w:t>
            </w:r>
            <w:r w:rsidRPr="00A07697">
              <w:rPr>
                <w:rStyle w:val="quality-sign"/>
                <w:rFonts w:ascii="Segoe UI Symbol" w:eastAsia="MS Mincho" w:hAnsi="Segoe UI Symbol" w:cs="Segoe UI Symbol"/>
                <w:sz w:val="22"/>
                <w:szCs w:val="22"/>
              </w:rPr>
              <w:t>◯◯</w:t>
            </w:r>
            <w:r w:rsidRPr="00A07697">
              <w:rPr>
                <w:rFonts w:eastAsia="Times New Roman" w:cs="Times New Roman"/>
                <w:sz w:val="22"/>
                <w:szCs w:val="22"/>
              </w:rPr>
              <w:br/>
              <w:t xml:space="preserve">LOW </w:t>
            </w:r>
          </w:p>
        </w:tc>
        <w:tc>
          <w:tcPr>
            <w:tcW w:w="3093" w:type="dxa"/>
          </w:tcPr>
          <w:p w14:paraId="2DD2E1BF" w14:textId="4C0A6633" w:rsidR="00DA331E" w:rsidRPr="00A07697" w:rsidRDefault="00DA331E" w:rsidP="00DA331E">
            <w:pPr>
              <w:rPr>
                <w:rStyle w:val="quality-sign"/>
                <w:rFonts w:eastAsia="Cambria" w:cs="STIXGeneral-Regular"/>
                <w:sz w:val="22"/>
                <w:szCs w:val="22"/>
              </w:rPr>
            </w:pPr>
            <w:r w:rsidRPr="00A07697">
              <w:rPr>
                <w:rStyle w:val="block"/>
                <w:rFonts w:eastAsia="Times New Roman" w:cs="Times New Roman"/>
                <w:bCs/>
                <w:sz w:val="22"/>
                <w:szCs w:val="22"/>
              </w:rPr>
              <w:t>Optimal information size of 300 not met, downgraded</w:t>
            </w:r>
            <w:r w:rsidR="00A07697">
              <w:rPr>
                <w:rStyle w:val="block"/>
                <w:rFonts w:eastAsia="Times New Roman" w:cs="Times New Roman"/>
                <w:bCs/>
                <w:sz w:val="22"/>
                <w:szCs w:val="22"/>
              </w:rPr>
              <w:t>.</w:t>
            </w:r>
          </w:p>
        </w:tc>
      </w:tr>
      <w:tr w:rsidR="00DA331E" w:rsidRPr="00A07697" w14:paraId="1A404A20" w14:textId="77777777" w:rsidTr="00A07697">
        <w:trPr>
          <w:gridAfter w:val="1"/>
          <w:wAfter w:w="16" w:type="dxa"/>
          <w:trHeight w:hRule="exact" w:val="1021"/>
        </w:trPr>
        <w:tc>
          <w:tcPr>
            <w:tcW w:w="2060" w:type="dxa"/>
          </w:tcPr>
          <w:p w14:paraId="22107272" w14:textId="77777777" w:rsidR="00DA331E" w:rsidRPr="00A07697" w:rsidRDefault="00DA331E" w:rsidP="00DA331E">
            <w:pPr>
              <w:rPr>
                <w:rFonts w:cs="Times New Roman"/>
                <w:bCs/>
                <w:sz w:val="22"/>
                <w:szCs w:val="22"/>
              </w:rPr>
            </w:pPr>
            <w:r w:rsidRPr="00A07697">
              <w:rPr>
                <w:rFonts w:cs="Times New Roman"/>
                <w:bCs/>
                <w:sz w:val="22"/>
                <w:szCs w:val="22"/>
              </w:rPr>
              <w:t>Brief Pain Inventory at 24 h.</w:t>
            </w:r>
          </w:p>
          <w:p w14:paraId="781EDAC6" w14:textId="2DF020AA" w:rsidR="00DA331E" w:rsidRPr="00A07697" w:rsidRDefault="00DA331E" w:rsidP="00DA331E">
            <w:pPr>
              <w:rPr>
                <w:rStyle w:val="label"/>
                <w:bCs/>
                <w:sz w:val="22"/>
                <w:szCs w:val="22"/>
              </w:rPr>
            </w:pPr>
            <w:r w:rsidRPr="00A07697">
              <w:rPr>
                <w:rFonts w:cs="Times New Roman"/>
                <w:sz w:val="22"/>
                <w:szCs w:val="22"/>
              </w:rPr>
              <w:t>Lower score=</w:t>
            </w:r>
          </w:p>
        </w:tc>
        <w:tc>
          <w:tcPr>
            <w:tcW w:w="1557" w:type="dxa"/>
          </w:tcPr>
          <w:p w14:paraId="52BBD07F" w14:textId="493F8330" w:rsidR="00DA331E" w:rsidRPr="00A07697" w:rsidRDefault="00DA331E" w:rsidP="00DA331E">
            <w:pPr>
              <w:rPr>
                <w:rFonts w:eastAsia="Times New Roman" w:cs="Times New Roman"/>
                <w:bCs/>
                <w:sz w:val="22"/>
                <w:szCs w:val="22"/>
                <w:lang w:val="en-AU"/>
              </w:rPr>
            </w:pPr>
            <w:r w:rsidRPr="00A07697">
              <w:rPr>
                <w:rFonts w:eastAsia="Times New Roman" w:cs="Times New Roman"/>
                <w:bCs/>
                <w:sz w:val="22"/>
                <w:szCs w:val="22"/>
                <w:lang w:val="en-AU"/>
              </w:rPr>
              <w:t>41 [22 - 58</w:t>
            </w:r>
            <w:r w:rsidRPr="00A07697">
              <w:rPr>
                <w:rFonts w:eastAsia="Times New Roman" w:cs="Times New Roman"/>
                <w:bCs/>
                <w:sz w:val="22"/>
                <w:szCs w:val="22"/>
              </w:rPr>
              <w:t>]</w:t>
            </w:r>
          </w:p>
        </w:tc>
        <w:tc>
          <w:tcPr>
            <w:tcW w:w="1558" w:type="dxa"/>
          </w:tcPr>
          <w:p w14:paraId="0A3A67A4" w14:textId="560A6DCD" w:rsidR="00DA331E" w:rsidRPr="00A07697" w:rsidRDefault="00DA331E" w:rsidP="00DA331E">
            <w:pPr>
              <w:rPr>
                <w:rFonts w:eastAsia="Times New Roman" w:cs="Times New Roman"/>
                <w:bCs/>
                <w:sz w:val="22"/>
                <w:szCs w:val="22"/>
                <w:lang w:val="en-AU"/>
              </w:rPr>
            </w:pPr>
            <w:r w:rsidRPr="00A07697">
              <w:rPr>
                <w:rFonts w:eastAsia="Times New Roman" w:cs="Times New Roman"/>
                <w:bCs/>
                <w:sz w:val="22"/>
                <w:szCs w:val="22"/>
                <w:lang w:val="en-AU"/>
              </w:rPr>
              <w:t>53 [35 – 72]</w:t>
            </w:r>
          </w:p>
        </w:tc>
        <w:tc>
          <w:tcPr>
            <w:tcW w:w="2070" w:type="dxa"/>
          </w:tcPr>
          <w:p w14:paraId="7DA6A756" w14:textId="2D647539" w:rsidR="00DA331E" w:rsidRPr="00A07697" w:rsidRDefault="00DA331E" w:rsidP="00DA331E">
            <w:pPr>
              <w:rPr>
                <w:rFonts w:eastAsia="Times New Roman" w:cs="Times New Roman"/>
                <w:sz w:val="22"/>
                <w:szCs w:val="22"/>
                <w:lang w:val="en-AU"/>
              </w:rPr>
            </w:pPr>
            <w:r w:rsidRPr="00A07697">
              <w:rPr>
                <w:rFonts w:eastAsia="Times New Roman" w:cs="Times New Roman"/>
                <w:sz w:val="22"/>
                <w:szCs w:val="22"/>
              </w:rPr>
              <w:t>14 (0, 24)</w:t>
            </w:r>
          </w:p>
        </w:tc>
        <w:tc>
          <w:tcPr>
            <w:tcW w:w="1680" w:type="dxa"/>
          </w:tcPr>
          <w:p w14:paraId="7D6E873F" w14:textId="4DF32F98" w:rsidR="00DA331E" w:rsidRPr="00A07697" w:rsidRDefault="00DA331E" w:rsidP="00DA331E">
            <w:pPr>
              <w:rPr>
                <w:rFonts w:eastAsia="Times New Roman" w:cs="Times New Roman"/>
                <w:sz w:val="22"/>
                <w:szCs w:val="22"/>
              </w:rPr>
            </w:pPr>
            <w:r w:rsidRPr="00A07697">
              <w:rPr>
                <w:rFonts w:eastAsia="Times New Roman" w:cs="Times New Roman"/>
                <w:sz w:val="22"/>
                <w:szCs w:val="22"/>
              </w:rPr>
              <w:t>173</w:t>
            </w:r>
            <w:r w:rsidRPr="00A07697">
              <w:rPr>
                <w:rFonts w:eastAsia="Times New Roman" w:cs="Times New Roman"/>
                <w:sz w:val="22"/>
                <w:szCs w:val="22"/>
              </w:rPr>
              <w:br/>
              <w:t>(2 studies)</w:t>
            </w:r>
          </w:p>
        </w:tc>
        <w:tc>
          <w:tcPr>
            <w:tcW w:w="1680" w:type="dxa"/>
          </w:tcPr>
          <w:p w14:paraId="14478994" w14:textId="5A269656" w:rsidR="00DA331E" w:rsidRPr="00A07697" w:rsidRDefault="00DA331E" w:rsidP="00DA331E">
            <w:pPr>
              <w:rPr>
                <w:rStyle w:val="quality-sign"/>
                <w:rFonts w:eastAsia="Cambria" w:cs="STIXGeneral-Regular"/>
                <w:sz w:val="22"/>
                <w:szCs w:val="22"/>
              </w:rPr>
            </w:pPr>
            <w:r w:rsidRPr="00A07697">
              <w:rPr>
                <w:rStyle w:val="quality-sign"/>
                <w:rFonts w:eastAsia="Cambria" w:cs="STIXGeneral-Regular"/>
                <w:sz w:val="22"/>
                <w:szCs w:val="22"/>
              </w:rPr>
              <w:t>⨁⨁⨁</w:t>
            </w:r>
            <w:r w:rsidRPr="00A07697">
              <w:rPr>
                <w:rStyle w:val="quality-sign"/>
                <w:rFonts w:ascii="Segoe UI Symbol" w:eastAsia="MS Mincho" w:hAnsi="Segoe UI Symbol" w:cs="Segoe UI Symbol"/>
                <w:sz w:val="22"/>
                <w:szCs w:val="22"/>
              </w:rPr>
              <w:t>◯</w:t>
            </w:r>
            <w:r w:rsidRPr="00A07697">
              <w:rPr>
                <w:rFonts w:eastAsia="Times New Roman" w:cs="Times New Roman"/>
                <w:sz w:val="22"/>
                <w:szCs w:val="22"/>
              </w:rPr>
              <w:br/>
              <w:t>MODERATE</w:t>
            </w:r>
          </w:p>
        </w:tc>
        <w:tc>
          <w:tcPr>
            <w:tcW w:w="3093" w:type="dxa"/>
          </w:tcPr>
          <w:p w14:paraId="1775B8D4" w14:textId="2C8F7CF0" w:rsidR="00DA331E" w:rsidRPr="00A07697" w:rsidRDefault="00DA331E" w:rsidP="00DA331E">
            <w:pPr>
              <w:rPr>
                <w:rStyle w:val="block"/>
                <w:rFonts w:eastAsia="Times New Roman" w:cs="Times New Roman"/>
                <w:bCs/>
                <w:sz w:val="22"/>
                <w:szCs w:val="22"/>
              </w:rPr>
            </w:pPr>
            <w:r w:rsidRPr="00A07697">
              <w:rPr>
                <w:rStyle w:val="block"/>
                <w:rFonts w:eastAsia="Times New Roman" w:cs="Times New Roman"/>
                <w:bCs/>
                <w:sz w:val="22"/>
                <w:szCs w:val="22"/>
              </w:rPr>
              <w:t>-</w:t>
            </w:r>
          </w:p>
        </w:tc>
      </w:tr>
      <w:tr w:rsidR="00DA331E" w:rsidRPr="00A07697" w14:paraId="60C436D3" w14:textId="6678F10A" w:rsidTr="00CC44DE">
        <w:trPr>
          <w:gridAfter w:val="1"/>
          <w:wAfter w:w="16" w:type="dxa"/>
          <w:trHeight w:val="1184"/>
        </w:trPr>
        <w:tc>
          <w:tcPr>
            <w:tcW w:w="2060" w:type="dxa"/>
            <w:hideMark/>
          </w:tcPr>
          <w:p w14:paraId="63BEEBBD" w14:textId="34E73443" w:rsidR="00DA331E" w:rsidRPr="00A07697" w:rsidRDefault="00DA331E" w:rsidP="00DA331E">
            <w:pPr>
              <w:rPr>
                <w:rFonts w:eastAsia="Times New Roman" w:cs="Times New Roman"/>
                <w:sz w:val="22"/>
                <w:szCs w:val="22"/>
              </w:rPr>
            </w:pPr>
            <w:r w:rsidRPr="00A07697">
              <w:rPr>
                <w:rStyle w:val="label"/>
                <w:sz w:val="22"/>
                <w:szCs w:val="22"/>
              </w:rPr>
              <w:t>Serious Adverse Events</w:t>
            </w:r>
            <w:r w:rsidRPr="00A07697">
              <w:rPr>
                <w:rFonts w:eastAsia="Times New Roman" w:cs="Times New Roman"/>
                <w:sz w:val="22"/>
                <w:szCs w:val="22"/>
              </w:rPr>
              <w:t xml:space="preserve"> </w:t>
            </w:r>
          </w:p>
        </w:tc>
        <w:tc>
          <w:tcPr>
            <w:tcW w:w="1557" w:type="dxa"/>
          </w:tcPr>
          <w:p w14:paraId="1266C110" w14:textId="7609F55C" w:rsidR="00DA331E" w:rsidRPr="00A07697" w:rsidRDefault="00DA331E" w:rsidP="00DA331E">
            <w:pPr>
              <w:rPr>
                <w:rStyle w:val="block"/>
                <w:rFonts w:eastAsia="Times New Roman" w:cs="Times New Roman"/>
                <w:bCs/>
                <w:sz w:val="22"/>
                <w:szCs w:val="22"/>
              </w:rPr>
            </w:pPr>
            <w:r w:rsidRPr="00A07697">
              <w:rPr>
                <w:rStyle w:val="block"/>
                <w:rFonts w:eastAsia="Times New Roman" w:cs="Times New Roman"/>
                <w:bCs/>
                <w:sz w:val="22"/>
                <w:szCs w:val="22"/>
              </w:rPr>
              <w:t>3/295</w:t>
            </w:r>
          </w:p>
        </w:tc>
        <w:tc>
          <w:tcPr>
            <w:tcW w:w="1558" w:type="dxa"/>
          </w:tcPr>
          <w:p w14:paraId="1A0C9D9E" w14:textId="1CDA7DBC" w:rsidR="00DA331E" w:rsidRPr="00A07697" w:rsidRDefault="00DA331E" w:rsidP="00DA331E">
            <w:pPr>
              <w:rPr>
                <w:rStyle w:val="block"/>
                <w:rFonts w:eastAsia="Times New Roman" w:cs="Times New Roman"/>
                <w:bCs/>
                <w:sz w:val="22"/>
                <w:szCs w:val="22"/>
              </w:rPr>
            </w:pPr>
            <w:r w:rsidRPr="00A07697">
              <w:rPr>
                <w:rStyle w:val="block"/>
                <w:rFonts w:eastAsia="Times New Roman" w:cs="Times New Roman"/>
                <w:bCs/>
                <w:sz w:val="22"/>
                <w:szCs w:val="22"/>
              </w:rPr>
              <w:t>4/290</w:t>
            </w:r>
          </w:p>
        </w:tc>
        <w:tc>
          <w:tcPr>
            <w:tcW w:w="2070" w:type="dxa"/>
            <w:hideMark/>
          </w:tcPr>
          <w:p w14:paraId="094D1D9C" w14:textId="51A6F6D4" w:rsidR="00DA331E" w:rsidRPr="00A07697" w:rsidRDefault="00DA331E" w:rsidP="00DA331E">
            <w:pPr>
              <w:rPr>
                <w:rFonts w:eastAsia="Times New Roman" w:cs="Times New Roman"/>
                <w:sz w:val="22"/>
                <w:szCs w:val="22"/>
              </w:rPr>
            </w:pPr>
            <w:r w:rsidRPr="00A07697">
              <w:rPr>
                <w:rStyle w:val="block"/>
                <w:rFonts w:eastAsia="Times New Roman" w:cs="Times New Roman"/>
                <w:sz w:val="22"/>
                <w:szCs w:val="22"/>
              </w:rPr>
              <w:t>OR 0.76</w:t>
            </w:r>
            <w:r w:rsidRPr="00A07697">
              <w:rPr>
                <w:rFonts w:eastAsia="Times New Roman" w:cs="Times New Roman"/>
                <w:sz w:val="22"/>
                <w:szCs w:val="22"/>
              </w:rPr>
              <w:br/>
            </w:r>
            <w:r w:rsidRPr="00A07697">
              <w:rPr>
                <w:rStyle w:val="cell"/>
                <w:rFonts w:eastAsia="Times New Roman" w:cs="Times New Roman"/>
                <w:sz w:val="22"/>
                <w:szCs w:val="22"/>
              </w:rPr>
              <w:t>[0.20, 8.05]</w:t>
            </w:r>
            <w:r w:rsidRPr="00A07697">
              <w:rPr>
                <w:rFonts w:eastAsia="Times New Roman" w:cs="Times New Roman"/>
                <w:sz w:val="22"/>
                <w:szCs w:val="22"/>
              </w:rPr>
              <w:t xml:space="preserve"> </w:t>
            </w:r>
          </w:p>
        </w:tc>
        <w:tc>
          <w:tcPr>
            <w:tcW w:w="1680" w:type="dxa"/>
            <w:hideMark/>
          </w:tcPr>
          <w:p w14:paraId="6E759594" w14:textId="42E675B5" w:rsidR="00DA331E" w:rsidRPr="00A07697" w:rsidRDefault="00DA331E" w:rsidP="00DA331E">
            <w:pPr>
              <w:rPr>
                <w:rFonts w:eastAsia="Times New Roman" w:cs="Times New Roman"/>
                <w:sz w:val="22"/>
                <w:szCs w:val="22"/>
              </w:rPr>
            </w:pPr>
            <w:r w:rsidRPr="00A07697">
              <w:rPr>
                <w:rFonts w:eastAsia="Times New Roman" w:cs="Times New Roman"/>
                <w:sz w:val="22"/>
                <w:szCs w:val="22"/>
              </w:rPr>
              <w:t>585</w:t>
            </w:r>
            <w:r w:rsidRPr="00A07697">
              <w:rPr>
                <w:rFonts w:eastAsia="Times New Roman" w:cs="Times New Roman"/>
                <w:sz w:val="22"/>
                <w:szCs w:val="22"/>
              </w:rPr>
              <w:br/>
              <w:t xml:space="preserve">(6 studies) </w:t>
            </w:r>
          </w:p>
        </w:tc>
        <w:tc>
          <w:tcPr>
            <w:tcW w:w="1680" w:type="dxa"/>
            <w:hideMark/>
          </w:tcPr>
          <w:p w14:paraId="2FF8398A" w14:textId="3B7769DE" w:rsidR="00DA331E" w:rsidRPr="00A07697" w:rsidRDefault="00DA331E" w:rsidP="00DA331E">
            <w:pPr>
              <w:rPr>
                <w:rFonts w:eastAsia="Times New Roman" w:cs="Times New Roman"/>
                <w:sz w:val="22"/>
                <w:szCs w:val="22"/>
              </w:rPr>
            </w:pPr>
            <w:r w:rsidRPr="00A07697">
              <w:rPr>
                <w:rStyle w:val="quality-sign"/>
                <w:rFonts w:eastAsia="Cambria" w:cs="STIXGeneral-Regular"/>
                <w:sz w:val="22"/>
                <w:szCs w:val="22"/>
              </w:rPr>
              <w:t>⨁</w:t>
            </w:r>
            <w:r w:rsidRPr="00A07697">
              <w:rPr>
                <w:rStyle w:val="quality-sign"/>
                <w:rFonts w:ascii="Segoe UI Symbol" w:eastAsia="MS Mincho" w:hAnsi="Segoe UI Symbol" w:cs="Segoe UI Symbol"/>
                <w:sz w:val="22"/>
                <w:szCs w:val="22"/>
              </w:rPr>
              <w:t>◯◯◯</w:t>
            </w:r>
            <w:r w:rsidRPr="00A07697">
              <w:rPr>
                <w:rFonts w:eastAsia="Times New Roman" w:cs="Times New Roman"/>
                <w:sz w:val="22"/>
                <w:szCs w:val="22"/>
              </w:rPr>
              <w:br/>
              <w:t>VERY LOW</w:t>
            </w:r>
          </w:p>
        </w:tc>
        <w:tc>
          <w:tcPr>
            <w:tcW w:w="3093" w:type="dxa"/>
          </w:tcPr>
          <w:p w14:paraId="48C3F5D5" w14:textId="4774B0E4" w:rsidR="00DA331E" w:rsidRPr="00A07697" w:rsidRDefault="00DA331E" w:rsidP="00DA331E">
            <w:pPr>
              <w:rPr>
                <w:rStyle w:val="quality-sign"/>
                <w:rFonts w:eastAsia="Cambria" w:cs="STIXGeneral-Regular"/>
                <w:sz w:val="22"/>
                <w:szCs w:val="22"/>
              </w:rPr>
            </w:pPr>
            <w:r w:rsidRPr="00A07697">
              <w:rPr>
                <w:rStyle w:val="quality-sign"/>
                <w:rFonts w:eastAsia="Cambria" w:cs="STIXGeneral-Regular"/>
                <w:sz w:val="22"/>
                <w:szCs w:val="22"/>
              </w:rPr>
              <w:t>High heterogeneity in outcome reporting, definitions and follow-up. Underreporting likely as the proportion of SAE is substantially reduced compared to registry results.</w:t>
            </w:r>
          </w:p>
        </w:tc>
      </w:tr>
      <w:tr w:rsidR="00DA331E" w:rsidRPr="00A07697" w14:paraId="7A320B4E" w14:textId="6931508E" w:rsidTr="00A07697">
        <w:trPr>
          <w:gridAfter w:val="1"/>
          <w:wAfter w:w="16" w:type="dxa"/>
          <w:trHeight w:hRule="exact" w:val="964"/>
        </w:trPr>
        <w:tc>
          <w:tcPr>
            <w:tcW w:w="2060" w:type="dxa"/>
            <w:hideMark/>
          </w:tcPr>
          <w:p w14:paraId="2BA9CC21" w14:textId="62E5745B" w:rsidR="00DA331E" w:rsidRPr="00A07697" w:rsidRDefault="00DA331E" w:rsidP="00DA331E">
            <w:pPr>
              <w:rPr>
                <w:rFonts w:eastAsia="Times New Roman" w:cs="Times New Roman"/>
                <w:sz w:val="22"/>
                <w:szCs w:val="22"/>
              </w:rPr>
            </w:pPr>
            <w:r w:rsidRPr="00A07697">
              <w:rPr>
                <w:rFonts w:eastAsia="Times New Roman" w:cs="Times New Roman"/>
                <w:sz w:val="22"/>
                <w:szCs w:val="22"/>
              </w:rPr>
              <w:t xml:space="preserve"> Length of stay (days)</w:t>
            </w:r>
          </w:p>
        </w:tc>
        <w:tc>
          <w:tcPr>
            <w:tcW w:w="1557" w:type="dxa"/>
          </w:tcPr>
          <w:p w14:paraId="285CACC2" w14:textId="1F0870A5" w:rsidR="00DA331E" w:rsidRPr="00A07697" w:rsidRDefault="00DA331E" w:rsidP="00DA331E">
            <w:pPr>
              <w:rPr>
                <w:rStyle w:val="cell"/>
                <w:rFonts w:eastAsia="Times New Roman" w:cs="Times New Roman"/>
                <w:sz w:val="22"/>
                <w:szCs w:val="22"/>
              </w:rPr>
            </w:pPr>
            <w:r w:rsidRPr="00A07697">
              <w:rPr>
                <w:rFonts w:eastAsia="Times New Roman" w:cs="Times New Roman"/>
                <w:sz w:val="22"/>
                <w:szCs w:val="22"/>
                <w:lang w:val="en-AU"/>
              </w:rPr>
              <w:t>3 [2 – 6]</w:t>
            </w:r>
          </w:p>
        </w:tc>
        <w:tc>
          <w:tcPr>
            <w:tcW w:w="1558" w:type="dxa"/>
          </w:tcPr>
          <w:p w14:paraId="1A21D9A5" w14:textId="2EF8EF7E" w:rsidR="00DA331E" w:rsidRPr="00A07697" w:rsidRDefault="00DA331E" w:rsidP="00DA331E">
            <w:pPr>
              <w:rPr>
                <w:rStyle w:val="cell"/>
                <w:rFonts w:eastAsia="Times New Roman" w:cs="Times New Roman"/>
                <w:sz w:val="22"/>
                <w:szCs w:val="22"/>
              </w:rPr>
            </w:pPr>
            <w:r w:rsidRPr="00A07697">
              <w:rPr>
                <w:rFonts w:eastAsia="Times New Roman" w:cs="Times New Roman"/>
                <w:sz w:val="22"/>
                <w:szCs w:val="22"/>
                <w:lang w:val="en-AU"/>
              </w:rPr>
              <w:t>4 [3 – 6]</w:t>
            </w:r>
          </w:p>
        </w:tc>
        <w:tc>
          <w:tcPr>
            <w:tcW w:w="2070" w:type="dxa"/>
            <w:hideMark/>
          </w:tcPr>
          <w:p w14:paraId="709FD09F" w14:textId="312EDE08" w:rsidR="00DA331E" w:rsidRPr="00A07697" w:rsidRDefault="00DA331E" w:rsidP="00DA331E">
            <w:pPr>
              <w:rPr>
                <w:rFonts w:eastAsia="Times New Roman" w:cs="Times New Roman"/>
                <w:sz w:val="22"/>
                <w:szCs w:val="22"/>
              </w:rPr>
            </w:pPr>
            <w:r w:rsidRPr="00A07697">
              <w:rPr>
                <w:rFonts w:eastAsia="Times New Roman" w:cs="Times New Roman"/>
                <w:sz w:val="22"/>
                <w:szCs w:val="22"/>
                <w:lang w:val="en-AU"/>
              </w:rPr>
              <w:t>-1 (-2 – 0)</w:t>
            </w:r>
          </w:p>
        </w:tc>
        <w:tc>
          <w:tcPr>
            <w:tcW w:w="1680" w:type="dxa"/>
            <w:hideMark/>
          </w:tcPr>
          <w:p w14:paraId="3E134578" w14:textId="325A3836" w:rsidR="00DA331E" w:rsidRPr="00A07697" w:rsidRDefault="00DA331E" w:rsidP="00DA331E">
            <w:pPr>
              <w:rPr>
                <w:rFonts w:eastAsia="Times New Roman" w:cs="Times New Roman"/>
                <w:sz w:val="22"/>
                <w:szCs w:val="22"/>
              </w:rPr>
            </w:pPr>
            <w:r w:rsidRPr="00A07697">
              <w:rPr>
                <w:rFonts w:eastAsia="Times New Roman" w:cs="Times New Roman"/>
                <w:sz w:val="22"/>
                <w:szCs w:val="22"/>
              </w:rPr>
              <w:t xml:space="preserve"> 173</w:t>
            </w:r>
            <w:r w:rsidRPr="00A07697">
              <w:rPr>
                <w:rFonts w:eastAsia="Times New Roman" w:cs="Times New Roman"/>
                <w:sz w:val="22"/>
                <w:szCs w:val="22"/>
              </w:rPr>
              <w:br/>
              <w:t>(2 studies)</w:t>
            </w:r>
          </w:p>
        </w:tc>
        <w:tc>
          <w:tcPr>
            <w:tcW w:w="1680" w:type="dxa"/>
            <w:hideMark/>
          </w:tcPr>
          <w:p w14:paraId="045CE10B" w14:textId="77777777" w:rsidR="00DA331E" w:rsidRPr="00A07697" w:rsidRDefault="00DA331E" w:rsidP="00DA331E">
            <w:pPr>
              <w:rPr>
                <w:rFonts w:eastAsia="Times New Roman" w:cs="Times New Roman"/>
                <w:sz w:val="22"/>
                <w:szCs w:val="22"/>
              </w:rPr>
            </w:pPr>
            <w:r w:rsidRPr="00A07697">
              <w:rPr>
                <w:rStyle w:val="quality-sign"/>
                <w:rFonts w:eastAsia="Cambria" w:cs="STIXGeneral-Regular"/>
                <w:sz w:val="22"/>
                <w:szCs w:val="22"/>
              </w:rPr>
              <w:t>⨁⨁</w:t>
            </w:r>
            <w:r w:rsidRPr="00A07697">
              <w:rPr>
                <w:rStyle w:val="quality-sign"/>
                <w:rFonts w:ascii="Segoe UI Symbol" w:eastAsia="MS Mincho" w:hAnsi="Segoe UI Symbol" w:cs="Segoe UI Symbol"/>
                <w:sz w:val="22"/>
                <w:szCs w:val="22"/>
              </w:rPr>
              <w:t>◯◯</w:t>
            </w:r>
            <w:r w:rsidRPr="00A07697">
              <w:rPr>
                <w:rFonts w:eastAsia="Times New Roman" w:cs="Times New Roman"/>
                <w:sz w:val="22"/>
                <w:szCs w:val="22"/>
              </w:rPr>
              <w:br/>
              <w:t xml:space="preserve">LOW </w:t>
            </w:r>
          </w:p>
        </w:tc>
        <w:tc>
          <w:tcPr>
            <w:tcW w:w="3093" w:type="dxa"/>
          </w:tcPr>
          <w:p w14:paraId="23EC5671" w14:textId="45ECE810" w:rsidR="00DA331E" w:rsidRPr="00A07697" w:rsidRDefault="00DA331E" w:rsidP="00DA331E">
            <w:pPr>
              <w:rPr>
                <w:rStyle w:val="quality-sign"/>
                <w:rFonts w:eastAsia="Cambria" w:cs="STIXGeneral-Regular"/>
                <w:sz w:val="22"/>
                <w:szCs w:val="22"/>
              </w:rPr>
            </w:pPr>
            <w:r w:rsidRPr="00A07697">
              <w:rPr>
                <w:rFonts w:eastAsia="Cambria" w:cs="STIXGeneral-Regular"/>
                <w:sz w:val="22"/>
                <w:szCs w:val="22"/>
              </w:rPr>
              <w:t>Heterogeneity in outcome reporting.</w:t>
            </w:r>
          </w:p>
        </w:tc>
      </w:tr>
    </w:tbl>
    <w:p w14:paraId="5FB17213" w14:textId="1C296BF5" w:rsidR="00F81BD4" w:rsidRPr="00A07697" w:rsidRDefault="00F81BD4">
      <w:pPr>
        <w:rPr>
          <w:i/>
          <w:sz w:val="22"/>
          <w:szCs w:val="22"/>
        </w:rPr>
      </w:pPr>
    </w:p>
    <w:p w14:paraId="7C1F4428" w14:textId="7E9D0E84" w:rsidR="005D4417" w:rsidRPr="00A07697" w:rsidRDefault="009F09FE" w:rsidP="00CC44DE">
      <w:pPr>
        <w:spacing w:line="360" w:lineRule="auto"/>
        <w:rPr>
          <w:iCs/>
          <w:sz w:val="22"/>
          <w:szCs w:val="22"/>
          <w:lang w:val="en-GB"/>
        </w:rPr>
      </w:pPr>
      <w:r w:rsidRPr="00A07697">
        <w:rPr>
          <w:iCs/>
          <w:sz w:val="22"/>
          <w:szCs w:val="22"/>
          <w:lang w:val="en-GB"/>
        </w:rPr>
        <w:t xml:space="preserve">Abbreviations: SD, standard deviation; IQR, interquartile range; VAS, visual analogue scale. </w:t>
      </w:r>
      <w:r w:rsidR="005D4417" w:rsidRPr="00A07697">
        <w:rPr>
          <w:iCs/>
          <w:sz w:val="22"/>
          <w:szCs w:val="22"/>
          <w:lang w:val="en-GB"/>
        </w:rPr>
        <w:t>GRADE</w:t>
      </w:r>
      <w:r w:rsidR="00F97D9C" w:rsidRPr="00A07697">
        <w:rPr>
          <w:iCs/>
          <w:sz w:val="22"/>
          <w:szCs w:val="22"/>
          <w:lang w:val="en-GB"/>
        </w:rPr>
        <w:t xml:space="preserve"> (</w:t>
      </w:r>
      <w:r w:rsidR="00F97D9C" w:rsidRPr="00A07697">
        <w:rPr>
          <w:rFonts w:eastAsiaTheme="minorHAnsi" w:cs="Times New Roman"/>
          <w:sz w:val="22"/>
          <w:szCs w:val="22"/>
        </w:rPr>
        <w:t>Grading of Recommendations Assessment, Development and Evaluation)</w:t>
      </w:r>
      <w:r w:rsidR="005D4417" w:rsidRPr="00A07697">
        <w:rPr>
          <w:iCs/>
          <w:sz w:val="22"/>
          <w:szCs w:val="22"/>
          <w:lang w:val="en-GB"/>
        </w:rPr>
        <w:t xml:space="preserve"> Working Group grades of evidence</w:t>
      </w:r>
      <w:r w:rsidR="00CC44DE" w:rsidRPr="00A07697">
        <w:rPr>
          <w:iCs/>
          <w:sz w:val="22"/>
          <w:szCs w:val="22"/>
          <w:lang w:val="en-GB"/>
        </w:rPr>
        <w:t xml:space="preserve">. </w:t>
      </w:r>
      <w:r w:rsidR="005D4417" w:rsidRPr="00A07697">
        <w:rPr>
          <w:iCs/>
          <w:sz w:val="22"/>
          <w:szCs w:val="22"/>
          <w:lang w:val="en-GB"/>
        </w:rPr>
        <w:t>High certainty: We are very confident that the true effect lies close to that of the estimate of the effect</w:t>
      </w:r>
      <w:r w:rsidR="00CC44DE" w:rsidRPr="00A07697">
        <w:rPr>
          <w:iCs/>
          <w:sz w:val="22"/>
          <w:szCs w:val="22"/>
          <w:lang w:val="en-GB"/>
        </w:rPr>
        <w:t>.</w:t>
      </w:r>
      <w:r w:rsidR="00F97D9C" w:rsidRPr="00A07697">
        <w:rPr>
          <w:iCs/>
          <w:sz w:val="22"/>
          <w:szCs w:val="22"/>
          <w:lang w:val="en-GB"/>
        </w:rPr>
        <w:t xml:space="preserve"> </w:t>
      </w:r>
      <w:r w:rsidR="005D4417" w:rsidRPr="00A07697">
        <w:rPr>
          <w:iCs/>
          <w:sz w:val="22"/>
          <w:szCs w:val="22"/>
          <w:lang w:val="en-GB"/>
        </w:rPr>
        <w:t>Moderate certainty: We are moderately confident in the effect estimate: The true effect is likely to be close to the estimate of the effect, but there is a possibility that it is substantially different</w:t>
      </w:r>
      <w:r w:rsidR="00CC44DE" w:rsidRPr="00A07697">
        <w:rPr>
          <w:iCs/>
          <w:sz w:val="22"/>
          <w:szCs w:val="22"/>
          <w:lang w:val="en-GB"/>
        </w:rPr>
        <w:t xml:space="preserve">. </w:t>
      </w:r>
      <w:r w:rsidR="005D4417" w:rsidRPr="00A07697">
        <w:rPr>
          <w:iCs/>
          <w:sz w:val="22"/>
          <w:szCs w:val="22"/>
          <w:lang w:val="en-GB"/>
        </w:rPr>
        <w:t>Low certainty: Our confidence in the effect estimate is limited: The true effect may be substantially different from the estimate of the effect</w:t>
      </w:r>
      <w:r w:rsidR="00CC44DE" w:rsidRPr="00A07697">
        <w:rPr>
          <w:iCs/>
          <w:sz w:val="22"/>
          <w:szCs w:val="22"/>
          <w:lang w:val="en-GB"/>
        </w:rPr>
        <w:t xml:space="preserve">. </w:t>
      </w:r>
      <w:r w:rsidR="005D4417" w:rsidRPr="00A07697">
        <w:rPr>
          <w:iCs/>
          <w:sz w:val="22"/>
          <w:szCs w:val="22"/>
          <w:lang w:val="en-GB"/>
        </w:rPr>
        <w:t>Very low certainty: We have very little confidence in the effect estimate: The true effect is likely to be substantially different from the estimate of effect</w:t>
      </w:r>
      <w:r w:rsidR="00CC44DE" w:rsidRPr="00A07697">
        <w:rPr>
          <w:iCs/>
          <w:sz w:val="22"/>
          <w:szCs w:val="22"/>
          <w:lang w:val="en-GB"/>
        </w:rPr>
        <w:t>.</w:t>
      </w:r>
    </w:p>
    <w:p w14:paraId="2CDF2D12" w14:textId="2B1B2941" w:rsidR="00CC44DE" w:rsidRPr="00A07697" w:rsidRDefault="00CC44DE" w:rsidP="00CC44DE">
      <w:pPr>
        <w:spacing w:line="360" w:lineRule="auto"/>
        <w:rPr>
          <w:iCs/>
          <w:sz w:val="22"/>
          <w:szCs w:val="22"/>
          <w:lang w:val="en-GB"/>
        </w:rPr>
      </w:pPr>
      <w:r w:rsidRPr="00A07697">
        <w:rPr>
          <w:iCs/>
          <w:sz w:val="22"/>
          <w:szCs w:val="22"/>
        </w:rPr>
        <w:t>Quality of Recovery-15 (0, worst recovery; 150, optimal recovery)</w:t>
      </w:r>
      <w:r w:rsidR="00F54959" w:rsidRPr="00A07697">
        <w:rPr>
          <w:iCs/>
          <w:sz w:val="22"/>
          <w:szCs w:val="22"/>
        </w:rPr>
        <w:t xml:space="preserve">. Quality of Recovery-15 comprises five domains: pain (2 questions), physical comfort (5 questions), physical independence (2 questions), psychological support (2 questions) and emotional state (4 questions). A change in the </w:t>
      </w:r>
      <w:r w:rsidR="00F54959" w:rsidRPr="00A07697">
        <w:rPr>
          <w:iCs/>
          <w:sz w:val="22"/>
          <w:szCs w:val="22"/>
        </w:rPr>
        <w:lastRenderedPageBreak/>
        <w:t xml:space="preserve">score of 8 or more signifies a clinically important improvement or deterioration. </w:t>
      </w:r>
      <w:r w:rsidR="00177D81" w:rsidRPr="00A07697">
        <w:rPr>
          <w:iCs/>
          <w:sz w:val="22"/>
          <w:szCs w:val="22"/>
        </w:rPr>
        <w:t>Brief Pain Inventory evaluates pain and its interference with physical and emotional functioning. Brief Pain Inventory includes assessment of ‘worst’, ‘least’ and ‘current’ level of pain in the last 24 hours, and relief provided by pain treatments. The global score of the Brief Pain Inventory (0, optimal; 120, worst possible).</w:t>
      </w:r>
    </w:p>
    <w:sectPr w:rsidR="00CC44DE" w:rsidRPr="00A07697" w:rsidSect="00534148">
      <w:pgSz w:w="1684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TIXGeneral-Regular">
    <w:panose1 w:val="00000000000000000000"/>
    <w:charset w:val="00"/>
    <w:family w:val="auto"/>
    <w:notTrueType/>
    <w:pitch w:val="variable"/>
    <w:sig w:usb0="A00002FF" w:usb1="4203FDFF" w:usb2="02000020" w:usb3="00000000" w:csb0="8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579"/>
    <w:multiLevelType w:val="hybridMultilevel"/>
    <w:tmpl w:val="2E443710"/>
    <w:lvl w:ilvl="0" w:tplc="2E140EAC">
      <w:start w:val="66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6290"/>
    <w:multiLevelType w:val="hybridMultilevel"/>
    <w:tmpl w:val="DC52AFA4"/>
    <w:lvl w:ilvl="0" w:tplc="23E0C3B8">
      <w:start w:val="66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309FF"/>
    <w:multiLevelType w:val="hybridMultilevel"/>
    <w:tmpl w:val="79DA01FE"/>
    <w:lvl w:ilvl="0" w:tplc="3126E91C">
      <w:start w:val="66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068"/>
    <w:rsid w:val="000048E6"/>
    <w:rsid w:val="000056AC"/>
    <w:rsid w:val="000119CF"/>
    <w:rsid w:val="00024CE6"/>
    <w:rsid w:val="00032152"/>
    <w:rsid w:val="000E419A"/>
    <w:rsid w:val="001011E7"/>
    <w:rsid w:val="001045F9"/>
    <w:rsid w:val="001079EF"/>
    <w:rsid w:val="001254BA"/>
    <w:rsid w:val="00165419"/>
    <w:rsid w:val="00177D81"/>
    <w:rsid w:val="001C7D54"/>
    <w:rsid w:val="00204939"/>
    <w:rsid w:val="00210BCB"/>
    <w:rsid w:val="00274F3F"/>
    <w:rsid w:val="002C1162"/>
    <w:rsid w:val="002F69BE"/>
    <w:rsid w:val="00365EF7"/>
    <w:rsid w:val="00386068"/>
    <w:rsid w:val="00396C03"/>
    <w:rsid w:val="003C6C8C"/>
    <w:rsid w:val="003D64F0"/>
    <w:rsid w:val="003E6685"/>
    <w:rsid w:val="00434C36"/>
    <w:rsid w:val="00461D63"/>
    <w:rsid w:val="004767BB"/>
    <w:rsid w:val="00534148"/>
    <w:rsid w:val="0057519C"/>
    <w:rsid w:val="0059271D"/>
    <w:rsid w:val="005A551E"/>
    <w:rsid w:val="005C15C2"/>
    <w:rsid w:val="005D4417"/>
    <w:rsid w:val="00630E4E"/>
    <w:rsid w:val="006343FF"/>
    <w:rsid w:val="00692337"/>
    <w:rsid w:val="006B7E3A"/>
    <w:rsid w:val="006D202F"/>
    <w:rsid w:val="007843F1"/>
    <w:rsid w:val="007B30DB"/>
    <w:rsid w:val="007B3B03"/>
    <w:rsid w:val="007E0094"/>
    <w:rsid w:val="007F0E57"/>
    <w:rsid w:val="00835936"/>
    <w:rsid w:val="00871474"/>
    <w:rsid w:val="00876A26"/>
    <w:rsid w:val="00894811"/>
    <w:rsid w:val="008B4E67"/>
    <w:rsid w:val="008E2238"/>
    <w:rsid w:val="008F1190"/>
    <w:rsid w:val="009316E1"/>
    <w:rsid w:val="009C245F"/>
    <w:rsid w:val="009F09FE"/>
    <w:rsid w:val="00A07697"/>
    <w:rsid w:val="00A56C1C"/>
    <w:rsid w:val="00AD0652"/>
    <w:rsid w:val="00AF4974"/>
    <w:rsid w:val="00BA0B95"/>
    <w:rsid w:val="00BB4835"/>
    <w:rsid w:val="00CC44DE"/>
    <w:rsid w:val="00CD433F"/>
    <w:rsid w:val="00CE01B3"/>
    <w:rsid w:val="00CF09E7"/>
    <w:rsid w:val="00D67387"/>
    <w:rsid w:val="00D926EE"/>
    <w:rsid w:val="00DA331E"/>
    <w:rsid w:val="00DA675A"/>
    <w:rsid w:val="00E400F6"/>
    <w:rsid w:val="00E42625"/>
    <w:rsid w:val="00E57514"/>
    <w:rsid w:val="00E7487E"/>
    <w:rsid w:val="00EE0F2E"/>
    <w:rsid w:val="00F31481"/>
    <w:rsid w:val="00F3523A"/>
    <w:rsid w:val="00F519A5"/>
    <w:rsid w:val="00F54959"/>
    <w:rsid w:val="00F75145"/>
    <w:rsid w:val="00F81BD4"/>
    <w:rsid w:val="00F848CA"/>
    <w:rsid w:val="00F91D5C"/>
    <w:rsid w:val="00F97D9C"/>
    <w:rsid w:val="00FA4E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2505B"/>
  <w14:defaultImageDpi w14:val="300"/>
  <w15:docId w15:val="{A4CD4869-1F01-824C-B3B2-34563F56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6068"/>
    <w:pPr>
      <w:spacing w:after="90"/>
    </w:pPr>
    <w:rPr>
      <w:rFonts w:ascii="Times New Roman" w:eastAsia="Times New Roman" w:hAnsi="Times New Roman" w:cs="Times New Roman"/>
      <w:sz w:val="20"/>
      <w:szCs w:val="20"/>
    </w:rPr>
  </w:style>
  <w:style w:type="paragraph" w:customStyle="1" w:styleId="first-letter">
    <w:name w:val="first-letter"/>
    <w:basedOn w:val="Normal"/>
    <w:rsid w:val="00386068"/>
    <w:pPr>
      <w:spacing w:before="100" w:beforeAutospacing="1" w:after="100" w:afterAutospacing="1"/>
    </w:pPr>
    <w:rPr>
      <w:rFonts w:ascii="Times New Roman" w:hAnsi="Times New Roman" w:cs="Times New Roman"/>
    </w:rPr>
  </w:style>
  <w:style w:type="character" w:customStyle="1" w:styleId="label">
    <w:name w:val="label"/>
    <w:basedOn w:val="DefaultParagraphFont"/>
    <w:rsid w:val="00386068"/>
  </w:style>
  <w:style w:type="character" w:customStyle="1" w:styleId="cell-value">
    <w:name w:val="cell-value"/>
    <w:basedOn w:val="DefaultParagraphFont"/>
    <w:rsid w:val="00386068"/>
  </w:style>
  <w:style w:type="character" w:customStyle="1" w:styleId="cell">
    <w:name w:val="cell"/>
    <w:basedOn w:val="DefaultParagraphFont"/>
    <w:rsid w:val="00386068"/>
  </w:style>
  <w:style w:type="character" w:customStyle="1" w:styleId="block">
    <w:name w:val="block"/>
    <w:basedOn w:val="DefaultParagraphFont"/>
    <w:rsid w:val="00386068"/>
  </w:style>
  <w:style w:type="character" w:customStyle="1" w:styleId="quality-sign">
    <w:name w:val="quality-sign"/>
    <w:basedOn w:val="DefaultParagraphFont"/>
    <w:rsid w:val="00386068"/>
  </w:style>
  <w:style w:type="character" w:customStyle="1" w:styleId="comma">
    <w:name w:val="comma"/>
    <w:basedOn w:val="DefaultParagraphFont"/>
    <w:rsid w:val="00386068"/>
  </w:style>
  <w:style w:type="paragraph" w:styleId="ListParagraph">
    <w:name w:val="List Paragraph"/>
    <w:basedOn w:val="Normal"/>
    <w:uiPriority w:val="34"/>
    <w:qFormat/>
    <w:rsid w:val="008B4E67"/>
    <w:pPr>
      <w:ind w:left="720"/>
      <w:contextualSpacing/>
    </w:pPr>
  </w:style>
  <w:style w:type="paragraph" w:styleId="BalloonText">
    <w:name w:val="Balloon Text"/>
    <w:basedOn w:val="Normal"/>
    <w:link w:val="BalloonTextChar"/>
    <w:uiPriority w:val="99"/>
    <w:semiHidden/>
    <w:unhideWhenUsed/>
    <w:rsid w:val="00F97D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D9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Smith</dc:creator>
  <cp:keywords/>
  <dc:description/>
  <cp:lastModifiedBy>MB</cp:lastModifiedBy>
  <cp:revision>75</cp:revision>
  <dcterms:created xsi:type="dcterms:W3CDTF">2016-08-03T01:50:00Z</dcterms:created>
  <dcterms:modified xsi:type="dcterms:W3CDTF">2020-11-13T19:25:00Z</dcterms:modified>
</cp:coreProperties>
</file>